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AD45" w14:textId="77777777" w:rsidR="00111B3E" w:rsidRPr="00015CA8" w:rsidRDefault="00000000">
      <w:pPr>
        <w:pStyle w:val="Heading1"/>
        <w:rPr>
          <w:b/>
          <w:bCs/>
          <w:sz w:val="24"/>
          <w:szCs w:val="24"/>
        </w:rPr>
      </w:pPr>
      <w:r w:rsidRPr="00015CA8">
        <w:rPr>
          <w:b/>
          <w:bCs/>
          <w:sz w:val="24"/>
          <w:szCs w:val="24"/>
        </w:rPr>
        <w:t>Montgomery County Annual Plan (2023 - 2024)</w:t>
      </w:r>
    </w:p>
    <w:p w14:paraId="7816F6CC" w14:textId="77777777" w:rsidR="00111B3E" w:rsidRDefault="00111B3E">
      <w:pPr>
        <w:pStyle w:val="Heading1"/>
      </w:pPr>
    </w:p>
    <w:tbl>
      <w:tblPr>
        <w:tblStyle w:val="TableGrid"/>
        <w:tblW w:w="14112" w:type="dxa"/>
        <w:tblLayout w:type="fixed"/>
        <w:tblLook w:val="04A0" w:firstRow="1" w:lastRow="0" w:firstColumn="1" w:lastColumn="0" w:noHBand="0" w:noVBand="1"/>
      </w:tblPr>
      <w:tblGrid>
        <w:gridCol w:w="4320"/>
        <w:gridCol w:w="4320"/>
        <w:gridCol w:w="1440"/>
        <w:gridCol w:w="1440"/>
        <w:gridCol w:w="1296"/>
        <w:gridCol w:w="1296"/>
      </w:tblGrid>
      <w:tr w:rsidR="00111B3E" w14:paraId="363021FD" w14:textId="77777777" w:rsidTr="00C53382">
        <w:tc>
          <w:tcPr>
            <w:tcW w:w="14112" w:type="dxa"/>
            <w:gridSpan w:val="6"/>
            <w:shd w:val="clear" w:color="auto" w:fill="9CD3EA"/>
          </w:tcPr>
          <w:p w14:paraId="2406DBEF" w14:textId="0387794E" w:rsidR="00111B3E" w:rsidRDefault="00000000">
            <w:pPr>
              <w:pStyle w:val="GoalHeading"/>
            </w:pPr>
            <w:r>
              <w:rPr>
                <w:b/>
              </w:rPr>
              <w:t>[G 1] Improve Student Achievement</w:t>
            </w:r>
            <w:r>
              <w:rPr>
                <w:b/>
              </w:rPr>
              <w:br/>
            </w:r>
            <w:r>
              <w:t xml:space="preserve">*The district will create an environment that promotes active student engagement and consistent improvement in academic achievement among preK-12 students from all backgrounds and programs by implementing research-based practices and enhancing standards-based curriculum, instruction, and assessment </w:t>
            </w:r>
            <w:proofErr w:type="gramStart"/>
            <w:r>
              <w:t>resources.*</w:t>
            </w:r>
            <w:proofErr w:type="gramEnd"/>
            <w:r>
              <w:rPr>
                <w:b/>
              </w:rPr>
              <w:br/>
            </w:r>
            <w:r>
              <w:rPr>
                <w:b/>
              </w:rPr>
              <w:br/>
              <w:t>Performance Measure</w:t>
            </w:r>
            <w:r>
              <w:rPr>
                <w:b/>
              </w:rPr>
              <w:br/>
            </w:r>
            <w:r>
              <w:t>1. Increase SWD Overall Indicator Score Average from 1.67 to 2.0.</w:t>
            </w:r>
            <w:r>
              <w:br/>
              <w:t>2. Increase ED Overall Indicator Score Average from 2.17 to 2.8.</w:t>
            </w:r>
            <w:r>
              <w:br/>
              <w:t xml:space="preserve">  </w:t>
            </w:r>
            <w:r>
              <w:br/>
            </w:r>
            <w:r>
              <w:br/>
              <w:t>**2021-2022 CMCSS Student Group Heat Map: **</w:t>
            </w:r>
          </w:p>
        </w:tc>
      </w:tr>
      <w:tr w:rsidR="00111B3E" w14:paraId="1BF7C206" w14:textId="77777777" w:rsidTr="00C53382">
        <w:tc>
          <w:tcPr>
            <w:tcW w:w="4320" w:type="dxa"/>
          </w:tcPr>
          <w:p w14:paraId="6F94A94B" w14:textId="77777777" w:rsidR="00111B3E" w:rsidRDefault="00000000">
            <w:pPr>
              <w:pStyle w:val="Heading1"/>
            </w:pPr>
            <w:r>
              <w:rPr>
                <w:b/>
              </w:rPr>
              <w:t>Strategy</w:t>
            </w:r>
          </w:p>
        </w:tc>
        <w:tc>
          <w:tcPr>
            <w:tcW w:w="4320" w:type="dxa"/>
          </w:tcPr>
          <w:p w14:paraId="165DF201" w14:textId="77777777" w:rsidR="00111B3E" w:rsidRDefault="00000000">
            <w:pPr>
              <w:pStyle w:val="Heading1"/>
              <w:rPr>
                <w:b/>
              </w:rPr>
            </w:pPr>
            <w:r>
              <w:rPr>
                <w:b/>
              </w:rPr>
              <w:t>Action Step</w:t>
            </w:r>
          </w:p>
          <w:p w14:paraId="352F9FE7" w14:textId="27ED5605" w:rsidR="00C53382" w:rsidRDefault="00C53382">
            <w:pPr>
              <w:pStyle w:val="Heading1"/>
            </w:pPr>
            <w:r w:rsidRPr="00C53382">
              <w:rPr>
                <w:b/>
                <w:highlight w:val="cyan"/>
              </w:rPr>
              <w:t>Schools Must Enter Action Steps Here</w:t>
            </w:r>
          </w:p>
        </w:tc>
        <w:tc>
          <w:tcPr>
            <w:tcW w:w="1440" w:type="dxa"/>
          </w:tcPr>
          <w:p w14:paraId="7F162BEB" w14:textId="77777777" w:rsidR="00111B3E" w:rsidRDefault="00000000">
            <w:pPr>
              <w:pStyle w:val="Heading1"/>
            </w:pPr>
            <w:r>
              <w:rPr>
                <w:b/>
              </w:rPr>
              <w:t>Person Responsible</w:t>
            </w:r>
          </w:p>
        </w:tc>
        <w:tc>
          <w:tcPr>
            <w:tcW w:w="1440" w:type="dxa"/>
          </w:tcPr>
          <w:p w14:paraId="109FCFC2" w14:textId="77777777" w:rsidR="00111B3E" w:rsidRDefault="00000000">
            <w:pPr>
              <w:pStyle w:val="Heading1"/>
            </w:pPr>
            <w:r>
              <w:rPr>
                <w:b/>
              </w:rPr>
              <w:t>Estimated Completion Date</w:t>
            </w:r>
          </w:p>
        </w:tc>
        <w:tc>
          <w:tcPr>
            <w:tcW w:w="1296" w:type="dxa"/>
          </w:tcPr>
          <w:p w14:paraId="5DF202D7" w14:textId="77777777" w:rsidR="00111B3E" w:rsidRDefault="00000000">
            <w:pPr>
              <w:pStyle w:val="Heading1"/>
            </w:pPr>
            <w:r>
              <w:rPr>
                <w:b/>
              </w:rPr>
              <w:t>Funding Source</w:t>
            </w:r>
          </w:p>
        </w:tc>
        <w:tc>
          <w:tcPr>
            <w:tcW w:w="1296" w:type="dxa"/>
          </w:tcPr>
          <w:p w14:paraId="2863E93E" w14:textId="77777777" w:rsidR="00111B3E" w:rsidRDefault="00000000">
            <w:pPr>
              <w:pStyle w:val="Heading1"/>
            </w:pPr>
            <w:r>
              <w:rPr>
                <w:b/>
              </w:rPr>
              <w:t>Notes</w:t>
            </w:r>
          </w:p>
        </w:tc>
      </w:tr>
      <w:tr w:rsidR="00111B3E" w14:paraId="73E732A5" w14:textId="77777777" w:rsidTr="00C53382">
        <w:tc>
          <w:tcPr>
            <w:tcW w:w="4320" w:type="dxa"/>
          </w:tcPr>
          <w:p w14:paraId="468FF135" w14:textId="77777777" w:rsidR="00111B3E" w:rsidRDefault="00000000">
            <w:pPr>
              <w:pStyle w:val="Body"/>
            </w:pPr>
            <w:r w:rsidRPr="00C53382">
              <w:rPr>
                <w:b/>
                <w:highlight w:val="cyan"/>
              </w:rPr>
              <w:t>[S 1.1] Content and Subgroup Supports</w:t>
            </w:r>
            <w:r>
              <w:rPr>
                <w:b/>
              </w:rPr>
              <w:br/>
            </w:r>
            <w:r>
              <w:t>CMCSS will provide rigorous support and additional resources to all students and subgroups. Additionally, continue to provide additional support to address the needs of all students in core content, students in Tier categories, students under an IEP or Section 504, English language learners, and students at risk of not graduating or graduating college and career ready.</w:t>
            </w:r>
            <w:r>
              <w:rPr>
                <w:b/>
              </w:rPr>
              <w:br/>
            </w:r>
            <w:r>
              <w:rPr>
                <w:b/>
              </w:rPr>
              <w:br/>
              <w:t>Benchmark Indicator</w:t>
            </w:r>
            <w:r>
              <w:rPr>
                <w:b/>
              </w:rPr>
              <w:br/>
            </w:r>
            <w:r>
              <w:t>District curriculum teams will analyze and prepare for ELA and math data chats after each district unit assessment and after the three screener assessments.</w:t>
            </w:r>
          </w:p>
          <w:p w14:paraId="004D1DF1" w14:textId="77777777" w:rsidR="00677FCF" w:rsidRDefault="00677FCF">
            <w:pPr>
              <w:pStyle w:val="Body"/>
            </w:pPr>
          </w:p>
          <w:p w14:paraId="05DE56A2" w14:textId="77777777" w:rsidR="00AB47DC" w:rsidRPr="00AB47DC" w:rsidRDefault="00AB47DC" w:rsidP="00AB47DC">
            <w:pPr>
              <w:pStyle w:val="Body"/>
              <w:rPr>
                <w:b/>
                <w:bCs/>
              </w:rPr>
            </w:pPr>
            <w:r w:rsidRPr="00AB47DC">
              <w:rPr>
                <w:b/>
                <w:bCs/>
              </w:rPr>
              <w:t>Evidence</w:t>
            </w:r>
          </w:p>
          <w:p w14:paraId="758D490C" w14:textId="27F890F9" w:rsidR="00AB47DC" w:rsidRPr="00AB47DC" w:rsidRDefault="00AB47DC" w:rsidP="00AB47DC">
            <w:pPr>
              <w:pStyle w:val="Body"/>
            </w:pPr>
            <w:r w:rsidRPr="00AB47DC">
              <w:t>Student supports in Tennessee [Research based Academic Supports, Non-academic supports, and Family and Community Support]</w:t>
            </w:r>
          </w:p>
          <w:p w14:paraId="4838547C" w14:textId="77777777" w:rsidR="00AB47DC" w:rsidRPr="00AB47DC" w:rsidRDefault="00000000" w:rsidP="00AB47DC">
            <w:pPr>
              <w:pStyle w:val="Body"/>
            </w:pPr>
            <w:hyperlink r:id="rId6" w:tgtFrame="_blank" w:history="1">
              <w:r w:rsidR="00AB47DC" w:rsidRPr="00AB47DC">
                <w:rPr>
                  <w:rStyle w:val="Hyperlink"/>
                </w:rPr>
                <w:t>https://www.tn.gov/education/student-support/student-supports-in-tn.html</w:t>
              </w:r>
            </w:hyperlink>
          </w:p>
          <w:p w14:paraId="340DEE17" w14:textId="77777777" w:rsidR="00AB47DC" w:rsidRPr="00AB47DC" w:rsidRDefault="00AB47DC" w:rsidP="00AB47DC">
            <w:pPr>
              <w:pStyle w:val="Body"/>
            </w:pPr>
            <w:r w:rsidRPr="00AB47DC">
              <w:lastRenderedPageBreak/>
              <w:t>Tier 4</w:t>
            </w:r>
          </w:p>
          <w:p w14:paraId="0ADB1322" w14:textId="1B254823" w:rsidR="00677FCF" w:rsidRDefault="00677FCF">
            <w:pPr>
              <w:pStyle w:val="Body"/>
            </w:pPr>
          </w:p>
        </w:tc>
        <w:tc>
          <w:tcPr>
            <w:tcW w:w="4320" w:type="dxa"/>
          </w:tcPr>
          <w:p w14:paraId="1179C69D" w14:textId="1881A78B" w:rsidR="00111B3E" w:rsidRDefault="00111B3E">
            <w:pPr>
              <w:pStyle w:val="Body"/>
            </w:pPr>
          </w:p>
        </w:tc>
        <w:tc>
          <w:tcPr>
            <w:tcW w:w="1440" w:type="dxa"/>
          </w:tcPr>
          <w:p w14:paraId="07C51E8D" w14:textId="4105422F" w:rsidR="00111B3E" w:rsidRDefault="00111B3E">
            <w:pPr>
              <w:pStyle w:val="Body"/>
            </w:pPr>
          </w:p>
        </w:tc>
        <w:tc>
          <w:tcPr>
            <w:tcW w:w="1440" w:type="dxa"/>
          </w:tcPr>
          <w:p w14:paraId="3031AC77" w14:textId="01C8D1E1" w:rsidR="00111B3E" w:rsidRDefault="00111B3E">
            <w:pPr>
              <w:pStyle w:val="Body"/>
            </w:pPr>
          </w:p>
        </w:tc>
        <w:tc>
          <w:tcPr>
            <w:tcW w:w="1296" w:type="dxa"/>
          </w:tcPr>
          <w:p w14:paraId="7CB20F45" w14:textId="77777777" w:rsidR="00111B3E" w:rsidRDefault="00111B3E"/>
        </w:tc>
        <w:tc>
          <w:tcPr>
            <w:tcW w:w="1296" w:type="dxa"/>
          </w:tcPr>
          <w:p w14:paraId="5600B331" w14:textId="77777777" w:rsidR="00111B3E" w:rsidRDefault="00111B3E"/>
        </w:tc>
      </w:tr>
      <w:tr w:rsidR="00111B3E" w14:paraId="6848EAD3" w14:textId="77777777" w:rsidTr="00C53382">
        <w:tc>
          <w:tcPr>
            <w:tcW w:w="4320" w:type="dxa"/>
          </w:tcPr>
          <w:p w14:paraId="078EC79A" w14:textId="77777777" w:rsidR="00111B3E" w:rsidRDefault="00111B3E"/>
        </w:tc>
        <w:tc>
          <w:tcPr>
            <w:tcW w:w="4320" w:type="dxa"/>
          </w:tcPr>
          <w:p w14:paraId="0B8C028A" w14:textId="10285F30" w:rsidR="00111B3E" w:rsidRDefault="00111B3E">
            <w:pPr>
              <w:pStyle w:val="Body"/>
            </w:pPr>
          </w:p>
        </w:tc>
        <w:tc>
          <w:tcPr>
            <w:tcW w:w="1440" w:type="dxa"/>
          </w:tcPr>
          <w:p w14:paraId="154A2654" w14:textId="77D85BA0" w:rsidR="00111B3E" w:rsidRDefault="00111B3E">
            <w:pPr>
              <w:pStyle w:val="Body"/>
            </w:pPr>
          </w:p>
        </w:tc>
        <w:tc>
          <w:tcPr>
            <w:tcW w:w="1440" w:type="dxa"/>
          </w:tcPr>
          <w:p w14:paraId="58AD0ED9" w14:textId="423FF9E4" w:rsidR="00111B3E" w:rsidRDefault="00111B3E">
            <w:pPr>
              <w:pStyle w:val="Body"/>
            </w:pPr>
          </w:p>
        </w:tc>
        <w:tc>
          <w:tcPr>
            <w:tcW w:w="1296" w:type="dxa"/>
          </w:tcPr>
          <w:p w14:paraId="021F8CBA" w14:textId="77777777" w:rsidR="00111B3E" w:rsidRDefault="00111B3E"/>
        </w:tc>
        <w:tc>
          <w:tcPr>
            <w:tcW w:w="1296" w:type="dxa"/>
          </w:tcPr>
          <w:p w14:paraId="0F6672A5" w14:textId="77777777" w:rsidR="00111B3E" w:rsidRDefault="00111B3E"/>
        </w:tc>
      </w:tr>
      <w:tr w:rsidR="00111B3E" w14:paraId="33E8AA94" w14:textId="77777777" w:rsidTr="00C53382">
        <w:tc>
          <w:tcPr>
            <w:tcW w:w="4320" w:type="dxa"/>
          </w:tcPr>
          <w:p w14:paraId="50658B0D" w14:textId="77777777" w:rsidR="00111B3E" w:rsidRDefault="00111B3E"/>
        </w:tc>
        <w:tc>
          <w:tcPr>
            <w:tcW w:w="4320" w:type="dxa"/>
          </w:tcPr>
          <w:p w14:paraId="629448DD" w14:textId="2B6287E8" w:rsidR="00111B3E" w:rsidRDefault="00111B3E">
            <w:pPr>
              <w:pStyle w:val="Body"/>
            </w:pPr>
          </w:p>
        </w:tc>
        <w:tc>
          <w:tcPr>
            <w:tcW w:w="1440" w:type="dxa"/>
          </w:tcPr>
          <w:p w14:paraId="6DBC29A3" w14:textId="7E048E38" w:rsidR="00111B3E" w:rsidRDefault="00111B3E">
            <w:pPr>
              <w:pStyle w:val="Body"/>
            </w:pPr>
          </w:p>
        </w:tc>
        <w:tc>
          <w:tcPr>
            <w:tcW w:w="1440" w:type="dxa"/>
          </w:tcPr>
          <w:p w14:paraId="66964CDF" w14:textId="0FD0EA5D" w:rsidR="00111B3E" w:rsidRDefault="00111B3E">
            <w:pPr>
              <w:pStyle w:val="Body"/>
            </w:pPr>
          </w:p>
        </w:tc>
        <w:tc>
          <w:tcPr>
            <w:tcW w:w="1296" w:type="dxa"/>
          </w:tcPr>
          <w:p w14:paraId="2F0FEE30" w14:textId="77777777" w:rsidR="00111B3E" w:rsidRDefault="00111B3E"/>
        </w:tc>
        <w:tc>
          <w:tcPr>
            <w:tcW w:w="1296" w:type="dxa"/>
          </w:tcPr>
          <w:p w14:paraId="113185DA" w14:textId="77777777" w:rsidR="00111B3E" w:rsidRDefault="00111B3E"/>
        </w:tc>
      </w:tr>
      <w:tr w:rsidR="00111B3E" w14:paraId="3EA1C030" w14:textId="77777777" w:rsidTr="00C53382">
        <w:tc>
          <w:tcPr>
            <w:tcW w:w="4320" w:type="dxa"/>
          </w:tcPr>
          <w:p w14:paraId="792B75E5" w14:textId="77777777" w:rsidR="00111B3E" w:rsidRDefault="00000000">
            <w:pPr>
              <w:pStyle w:val="Body"/>
            </w:pPr>
            <w:r w:rsidRPr="00C53382">
              <w:rPr>
                <w:b/>
                <w:highlight w:val="cyan"/>
              </w:rPr>
              <w:t>[S 1.2] SPED/APR</w:t>
            </w:r>
            <w:r>
              <w:rPr>
                <w:b/>
              </w:rPr>
              <w:br/>
            </w:r>
            <w:r>
              <w:t>CMCSS will improve in the following areas under IDEA: APR Indicator1 Graduation Rate; APR Indicator 2 Drop Out Rate; Indicator 3 Statewide Assessment; Indicator 5 LRE (Ages 5 in K through 21; Indicator 6 LRE Ages 3 through 5 Not in K; Indicator 7 Early Childhood Outcomes; Indicator 11 Child Find; Indicator 12 Part C to Part B Transition; Indicator 13 Secondary Transition with IEP Goals.</w:t>
            </w:r>
            <w:r>
              <w:br/>
            </w:r>
            <w:r>
              <w:br/>
              <w:t>The special population department will conduct regular meetings with TDOE to prepare a comprehensive plan to meet all APR goals.</w:t>
            </w:r>
            <w:r>
              <w:rPr>
                <w:b/>
              </w:rPr>
              <w:br/>
            </w:r>
            <w:r>
              <w:rPr>
                <w:b/>
              </w:rPr>
              <w:br/>
              <w:t>Benchmark Indicator</w:t>
            </w:r>
            <w:r>
              <w:rPr>
                <w:b/>
              </w:rPr>
              <w:br/>
            </w:r>
            <w:r>
              <w:t>1. Data analysis and supports after each district unit ELA and math assessment.</w:t>
            </w:r>
          </w:p>
        </w:tc>
        <w:tc>
          <w:tcPr>
            <w:tcW w:w="4320" w:type="dxa"/>
          </w:tcPr>
          <w:p w14:paraId="1356C8BB" w14:textId="0FD38533" w:rsidR="00111B3E" w:rsidRDefault="00000000">
            <w:pPr>
              <w:pStyle w:val="Body"/>
            </w:pPr>
            <w:r>
              <w:br/>
            </w:r>
            <w:r>
              <w:br/>
            </w:r>
          </w:p>
        </w:tc>
        <w:tc>
          <w:tcPr>
            <w:tcW w:w="1440" w:type="dxa"/>
          </w:tcPr>
          <w:p w14:paraId="035F6F33" w14:textId="40A9B2BE" w:rsidR="00111B3E" w:rsidRDefault="00111B3E">
            <w:pPr>
              <w:pStyle w:val="Body"/>
            </w:pPr>
          </w:p>
        </w:tc>
        <w:tc>
          <w:tcPr>
            <w:tcW w:w="1440" w:type="dxa"/>
          </w:tcPr>
          <w:p w14:paraId="7F39B304" w14:textId="493B0C39" w:rsidR="00111B3E" w:rsidRDefault="00111B3E">
            <w:pPr>
              <w:pStyle w:val="Body"/>
            </w:pPr>
          </w:p>
        </w:tc>
        <w:tc>
          <w:tcPr>
            <w:tcW w:w="1296" w:type="dxa"/>
          </w:tcPr>
          <w:p w14:paraId="6395A932" w14:textId="77777777" w:rsidR="00111B3E" w:rsidRDefault="00111B3E"/>
        </w:tc>
        <w:tc>
          <w:tcPr>
            <w:tcW w:w="1296" w:type="dxa"/>
          </w:tcPr>
          <w:p w14:paraId="7F88D008" w14:textId="77777777" w:rsidR="00111B3E" w:rsidRDefault="00111B3E"/>
        </w:tc>
      </w:tr>
      <w:tr w:rsidR="00111B3E" w14:paraId="03077AB5" w14:textId="77777777" w:rsidTr="00C53382">
        <w:tc>
          <w:tcPr>
            <w:tcW w:w="4320" w:type="dxa"/>
          </w:tcPr>
          <w:p w14:paraId="5E56BFE3" w14:textId="77777777" w:rsidR="00111B3E" w:rsidRDefault="00000000">
            <w:pPr>
              <w:pStyle w:val="Body"/>
            </w:pPr>
            <w:r w:rsidRPr="00C53382">
              <w:rPr>
                <w:b/>
                <w:highlight w:val="cyan"/>
              </w:rPr>
              <w:t>[S 1.3] Differentiated Support for Reward, TSI, and ATSI</w:t>
            </w:r>
            <w:r>
              <w:rPr>
                <w:b/>
              </w:rPr>
              <w:br/>
            </w:r>
            <w:r>
              <w:t>District leadership team will help schools review various data points to determine student learning gaps and use multiple resources to develop strategies to address the needs of students. This work will assist in identifying schools who are near the threshold for being TSI and ATSI schools as well as those nearing Reward status.</w:t>
            </w:r>
            <w:r>
              <w:rPr>
                <w:b/>
              </w:rPr>
              <w:br/>
            </w:r>
            <w:r>
              <w:rPr>
                <w:b/>
              </w:rPr>
              <w:br/>
              <w:t>Benchmark Indicator</w:t>
            </w:r>
            <w:r>
              <w:rPr>
                <w:b/>
              </w:rPr>
              <w:br/>
            </w:r>
            <w:r>
              <w:t>Instruction team will meet monthly with school administrators to support their understanding of their relationship to the reward and targeted status.</w:t>
            </w:r>
          </w:p>
        </w:tc>
        <w:tc>
          <w:tcPr>
            <w:tcW w:w="4320" w:type="dxa"/>
          </w:tcPr>
          <w:p w14:paraId="410C481F" w14:textId="7950C171" w:rsidR="00111B3E" w:rsidRDefault="00111B3E">
            <w:pPr>
              <w:pStyle w:val="Body"/>
            </w:pPr>
          </w:p>
        </w:tc>
        <w:tc>
          <w:tcPr>
            <w:tcW w:w="1440" w:type="dxa"/>
          </w:tcPr>
          <w:p w14:paraId="0F37B33E" w14:textId="2A1A0AFB" w:rsidR="00111B3E" w:rsidRDefault="00111B3E">
            <w:pPr>
              <w:pStyle w:val="Body"/>
            </w:pPr>
          </w:p>
        </w:tc>
        <w:tc>
          <w:tcPr>
            <w:tcW w:w="1440" w:type="dxa"/>
          </w:tcPr>
          <w:p w14:paraId="66E40D2A" w14:textId="44240DA2" w:rsidR="00111B3E" w:rsidRDefault="00111B3E">
            <w:pPr>
              <w:pStyle w:val="Body"/>
            </w:pPr>
          </w:p>
        </w:tc>
        <w:tc>
          <w:tcPr>
            <w:tcW w:w="1296" w:type="dxa"/>
          </w:tcPr>
          <w:p w14:paraId="55D9F493" w14:textId="77777777" w:rsidR="00111B3E" w:rsidRDefault="00111B3E"/>
        </w:tc>
        <w:tc>
          <w:tcPr>
            <w:tcW w:w="1296" w:type="dxa"/>
          </w:tcPr>
          <w:p w14:paraId="25888FF5" w14:textId="77777777" w:rsidR="00111B3E" w:rsidRDefault="00111B3E"/>
        </w:tc>
      </w:tr>
      <w:tr w:rsidR="00111B3E" w14:paraId="1CA783CA" w14:textId="77777777" w:rsidTr="00C53382">
        <w:tc>
          <w:tcPr>
            <w:tcW w:w="4320" w:type="dxa"/>
          </w:tcPr>
          <w:p w14:paraId="737BD1F1" w14:textId="77777777" w:rsidR="00AB47DC" w:rsidRPr="00AB47DC" w:rsidRDefault="00AB47DC" w:rsidP="00AB47DC">
            <w:pPr>
              <w:rPr>
                <w:b/>
                <w:bCs/>
                <w:sz w:val="18"/>
                <w:szCs w:val="18"/>
              </w:rPr>
            </w:pPr>
            <w:r w:rsidRPr="00AB47DC">
              <w:rPr>
                <w:b/>
                <w:bCs/>
                <w:sz w:val="18"/>
                <w:szCs w:val="18"/>
              </w:rPr>
              <w:t>Evidence</w:t>
            </w:r>
          </w:p>
          <w:p w14:paraId="2F35B23E" w14:textId="6C397649" w:rsidR="00AB47DC" w:rsidRPr="00AB47DC" w:rsidRDefault="00000000" w:rsidP="00AB47DC">
            <w:pPr>
              <w:rPr>
                <w:sz w:val="18"/>
                <w:szCs w:val="18"/>
              </w:rPr>
            </w:pPr>
            <w:hyperlink r:id="rId7" w:tgtFrame="_blank" w:history="1">
              <w:r w:rsidR="00AB47DC" w:rsidRPr="00AB47DC">
                <w:rPr>
                  <w:rStyle w:val="Hyperlink"/>
                  <w:sz w:val="18"/>
                  <w:szCs w:val="18"/>
                </w:rPr>
                <w:t>NIET High Quality Curriculum Implementation</w:t>
              </w:r>
            </w:hyperlink>
            <w:r w:rsidR="00AB47DC" w:rsidRPr="00AB47DC">
              <w:rPr>
                <w:sz w:val="18"/>
                <w:szCs w:val="18"/>
              </w:rPr>
              <w:t> </w:t>
            </w:r>
          </w:p>
          <w:p w14:paraId="3A03C286" w14:textId="77777777" w:rsidR="00AB47DC" w:rsidRPr="00AB47DC" w:rsidRDefault="00000000" w:rsidP="00AB47DC">
            <w:pPr>
              <w:rPr>
                <w:sz w:val="18"/>
                <w:szCs w:val="18"/>
              </w:rPr>
            </w:pPr>
            <w:hyperlink r:id="rId8" w:tgtFrame="_blank" w:history="1">
              <w:r w:rsidR="00AB47DC" w:rsidRPr="00AB47DC">
                <w:rPr>
                  <w:rStyle w:val="Hyperlink"/>
                  <w:sz w:val="18"/>
                  <w:szCs w:val="18"/>
                </w:rPr>
                <w:t xml:space="preserve">Potential of </w:t>
              </w:r>
              <w:proofErr w:type="gramStart"/>
              <w:r w:rsidR="00AB47DC" w:rsidRPr="00AB47DC">
                <w:rPr>
                  <w:rStyle w:val="Hyperlink"/>
                  <w:sz w:val="18"/>
                  <w:szCs w:val="18"/>
                </w:rPr>
                <w:t>High Quality</w:t>
              </w:r>
              <w:proofErr w:type="gramEnd"/>
              <w:r w:rsidR="00AB47DC" w:rsidRPr="00AB47DC">
                <w:rPr>
                  <w:rStyle w:val="Hyperlink"/>
                  <w:sz w:val="18"/>
                  <w:szCs w:val="18"/>
                </w:rPr>
                <w:t xml:space="preserve"> Curriculum</w:t>
              </w:r>
            </w:hyperlink>
            <w:r w:rsidR="00AB47DC" w:rsidRPr="00AB47DC">
              <w:rPr>
                <w:sz w:val="18"/>
                <w:szCs w:val="18"/>
              </w:rPr>
              <w:t xml:space="preserve"> (page 2-5)</w:t>
            </w:r>
          </w:p>
          <w:p w14:paraId="3D4A6BE4" w14:textId="77777777" w:rsidR="00AB47DC" w:rsidRPr="00AB47DC" w:rsidRDefault="00000000" w:rsidP="00AB47DC">
            <w:pPr>
              <w:rPr>
                <w:sz w:val="18"/>
                <w:szCs w:val="18"/>
              </w:rPr>
            </w:pPr>
            <w:hyperlink r:id="rId9" w:tgtFrame="_blank" w:history="1">
              <w:r w:rsidR="00AB47DC" w:rsidRPr="00AB47DC">
                <w:rPr>
                  <w:rStyle w:val="Hyperlink"/>
                  <w:sz w:val="18"/>
                  <w:szCs w:val="18"/>
                </w:rPr>
                <w:t>The Opportunity Myth</w:t>
              </w:r>
            </w:hyperlink>
            <w:r w:rsidR="00AB47DC" w:rsidRPr="00AB47DC">
              <w:rPr>
                <w:sz w:val="18"/>
                <w:szCs w:val="18"/>
              </w:rPr>
              <w:t xml:space="preserve"> </w:t>
            </w:r>
          </w:p>
          <w:p w14:paraId="50FB16EB" w14:textId="77777777" w:rsidR="00111B3E" w:rsidRDefault="00111B3E"/>
        </w:tc>
        <w:tc>
          <w:tcPr>
            <w:tcW w:w="4320" w:type="dxa"/>
          </w:tcPr>
          <w:p w14:paraId="4BAB12CF" w14:textId="5B7A425A" w:rsidR="00111B3E" w:rsidRDefault="00111B3E">
            <w:pPr>
              <w:pStyle w:val="Body"/>
            </w:pPr>
          </w:p>
        </w:tc>
        <w:tc>
          <w:tcPr>
            <w:tcW w:w="1440" w:type="dxa"/>
          </w:tcPr>
          <w:p w14:paraId="7CFD6D15" w14:textId="7C506896" w:rsidR="00111B3E" w:rsidRDefault="00111B3E">
            <w:pPr>
              <w:pStyle w:val="Body"/>
            </w:pPr>
          </w:p>
        </w:tc>
        <w:tc>
          <w:tcPr>
            <w:tcW w:w="1440" w:type="dxa"/>
          </w:tcPr>
          <w:p w14:paraId="214EAF53" w14:textId="33C92B65" w:rsidR="00111B3E" w:rsidRDefault="00111B3E">
            <w:pPr>
              <w:pStyle w:val="Body"/>
            </w:pPr>
          </w:p>
        </w:tc>
        <w:tc>
          <w:tcPr>
            <w:tcW w:w="1296" w:type="dxa"/>
          </w:tcPr>
          <w:p w14:paraId="62A8BDD2" w14:textId="77777777" w:rsidR="00111B3E" w:rsidRDefault="00111B3E"/>
        </w:tc>
        <w:tc>
          <w:tcPr>
            <w:tcW w:w="1296" w:type="dxa"/>
          </w:tcPr>
          <w:p w14:paraId="7E8703BE" w14:textId="77777777" w:rsidR="00111B3E" w:rsidRDefault="00111B3E"/>
        </w:tc>
      </w:tr>
      <w:tr w:rsidR="00111B3E" w14:paraId="1F1B8716" w14:textId="77777777" w:rsidTr="00C53382">
        <w:tc>
          <w:tcPr>
            <w:tcW w:w="4320" w:type="dxa"/>
          </w:tcPr>
          <w:p w14:paraId="6177A849" w14:textId="77777777" w:rsidR="00111B3E" w:rsidRDefault="00111B3E"/>
        </w:tc>
        <w:tc>
          <w:tcPr>
            <w:tcW w:w="4320" w:type="dxa"/>
          </w:tcPr>
          <w:p w14:paraId="467FD26F" w14:textId="4792808E" w:rsidR="00111B3E" w:rsidRDefault="00111B3E">
            <w:pPr>
              <w:pStyle w:val="Body"/>
            </w:pPr>
          </w:p>
        </w:tc>
        <w:tc>
          <w:tcPr>
            <w:tcW w:w="1440" w:type="dxa"/>
          </w:tcPr>
          <w:p w14:paraId="30B8C4F7" w14:textId="64372A04" w:rsidR="00111B3E" w:rsidRDefault="00111B3E">
            <w:pPr>
              <w:pStyle w:val="Body"/>
            </w:pPr>
          </w:p>
        </w:tc>
        <w:tc>
          <w:tcPr>
            <w:tcW w:w="1440" w:type="dxa"/>
          </w:tcPr>
          <w:p w14:paraId="3B690D00" w14:textId="3353BC43" w:rsidR="00111B3E" w:rsidRDefault="00111B3E">
            <w:pPr>
              <w:pStyle w:val="Body"/>
            </w:pPr>
          </w:p>
        </w:tc>
        <w:tc>
          <w:tcPr>
            <w:tcW w:w="1296" w:type="dxa"/>
          </w:tcPr>
          <w:p w14:paraId="48248799" w14:textId="77777777" w:rsidR="00111B3E" w:rsidRDefault="00111B3E"/>
        </w:tc>
        <w:tc>
          <w:tcPr>
            <w:tcW w:w="1296" w:type="dxa"/>
          </w:tcPr>
          <w:p w14:paraId="3C72E72D" w14:textId="77777777" w:rsidR="00111B3E" w:rsidRDefault="00111B3E"/>
        </w:tc>
      </w:tr>
      <w:tr w:rsidR="00111B3E" w14:paraId="72809795" w14:textId="77777777" w:rsidTr="00C53382">
        <w:tc>
          <w:tcPr>
            <w:tcW w:w="4320" w:type="dxa"/>
          </w:tcPr>
          <w:p w14:paraId="7E1A1362" w14:textId="77777777" w:rsidR="00111B3E" w:rsidRDefault="00000000">
            <w:pPr>
              <w:pStyle w:val="Body"/>
            </w:pPr>
            <w:r w:rsidRPr="00C53382">
              <w:rPr>
                <w:b/>
                <w:highlight w:val="cyan"/>
              </w:rPr>
              <w:t>[S 1.4] Improving Academic Achievement in ELA and Mathematics</w:t>
            </w:r>
            <w:r>
              <w:rPr>
                <w:b/>
              </w:rPr>
              <w:br/>
            </w:r>
            <w:r>
              <w:t>Implement research-based literacy and math practices utilizing high-quality instructional materials to increase student mastery of grade level expectations (including those from historically underperforming subgroups to include ED, EL, SWD, and BHN).</w:t>
            </w:r>
            <w:r>
              <w:rPr>
                <w:b/>
              </w:rPr>
              <w:br/>
            </w:r>
            <w:r>
              <w:rPr>
                <w:b/>
              </w:rPr>
              <w:br/>
              <w:t>Benchmark Indicator</w:t>
            </w:r>
            <w:r>
              <w:rPr>
                <w:b/>
              </w:rPr>
              <w:br/>
            </w:r>
            <w:r>
              <w:t>District curriculum teams will analyze and prepare for ELA and math data chats after each district unit assessment and after the three screener assessments.</w:t>
            </w:r>
          </w:p>
        </w:tc>
        <w:tc>
          <w:tcPr>
            <w:tcW w:w="4320" w:type="dxa"/>
          </w:tcPr>
          <w:p w14:paraId="49667FE0" w14:textId="2E6A23E4" w:rsidR="00111B3E" w:rsidRDefault="00111B3E">
            <w:pPr>
              <w:pStyle w:val="Body"/>
            </w:pPr>
          </w:p>
        </w:tc>
        <w:tc>
          <w:tcPr>
            <w:tcW w:w="1440" w:type="dxa"/>
          </w:tcPr>
          <w:p w14:paraId="7C449627" w14:textId="38EFBB98" w:rsidR="00111B3E" w:rsidRDefault="00111B3E">
            <w:pPr>
              <w:pStyle w:val="Body"/>
            </w:pPr>
          </w:p>
        </w:tc>
        <w:tc>
          <w:tcPr>
            <w:tcW w:w="1440" w:type="dxa"/>
          </w:tcPr>
          <w:p w14:paraId="6E4157F1" w14:textId="5FFC80EC" w:rsidR="00111B3E" w:rsidRDefault="00111B3E">
            <w:pPr>
              <w:pStyle w:val="Body"/>
            </w:pPr>
          </w:p>
        </w:tc>
        <w:tc>
          <w:tcPr>
            <w:tcW w:w="1296" w:type="dxa"/>
          </w:tcPr>
          <w:p w14:paraId="5BD7A977" w14:textId="77777777" w:rsidR="00111B3E" w:rsidRDefault="00111B3E"/>
        </w:tc>
        <w:tc>
          <w:tcPr>
            <w:tcW w:w="1296" w:type="dxa"/>
          </w:tcPr>
          <w:p w14:paraId="7B8D303D" w14:textId="77777777" w:rsidR="00111B3E" w:rsidRDefault="00111B3E"/>
        </w:tc>
      </w:tr>
      <w:tr w:rsidR="00111B3E" w14:paraId="59F6DB04" w14:textId="77777777" w:rsidTr="00C53382">
        <w:tc>
          <w:tcPr>
            <w:tcW w:w="4320" w:type="dxa"/>
          </w:tcPr>
          <w:p w14:paraId="4A44200C" w14:textId="77777777" w:rsidR="00111B3E" w:rsidRDefault="00111B3E"/>
        </w:tc>
        <w:tc>
          <w:tcPr>
            <w:tcW w:w="4320" w:type="dxa"/>
          </w:tcPr>
          <w:p w14:paraId="328E3C02" w14:textId="74EABB3E" w:rsidR="00111B3E" w:rsidRDefault="00111B3E">
            <w:pPr>
              <w:pStyle w:val="Body"/>
            </w:pPr>
          </w:p>
        </w:tc>
        <w:tc>
          <w:tcPr>
            <w:tcW w:w="1440" w:type="dxa"/>
          </w:tcPr>
          <w:p w14:paraId="15A0F5CA" w14:textId="6C1E2DBC" w:rsidR="00111B3E" w:rsidRDefault="00111B3E">
            <w:pPr>
              <w:pStyle w:val="Body"/>
            </w:pPr>
          </w:p>
        </w:tc>
        <w:tc>
          <w:tcPr>
            <w:tcW w:w="1440" w:type="dxa"/>
          </w:tcPr>
          <w:p w14:paraId="5B0210C9" w14:textId="5CCD7B02" w:rsidR="00111B3E" w:rsidRDefault="00111B3E">
            <w:pPr>
              <w:pStyle w:val="Body"/>
            </w:pPr>
          </w:p>
        </w:tc>
        <w:tc>
          <w:tcPr>
            <w:tcW w:w="1296" w:type="dxa"/>
          </w:tcPr>
          <w:p w14:paraId="794AD704" w14:textId="77777777" w:rsidR="00111B3E" w:rsidRDefault="00111B3E"/>
        </w:tc>
        <w:tc>
          <w:tcPr>
            <w:tcW w:w="1296" w:type="dxa"/>
          </w:tcPr>
          <w:p w14:paraId="4727B927" w14:textId="77777777" w:rsidR="00111B3E" w:rsidRDefault="00111B3E"/>
        </w:tc>
      </w:tr>
      <w:tr w:rsidR="00111B3E" w14:paraId="5C4F823E" w14:textId="77777777" w:rsidTr="00C53382">
        <w:tc>
          <w:tcPr>
            <w:tcW w:w="4320" w:type="dxa"/>
          </w:tcPr>
          <w:p w14:paraId="6E3D1E17" w14:textId="77777777" w:rsidR="00111B3E" w:rsidRDefault="00111B3E"/>
        </w:tc>
        <w:tc>
          <w:tcPr>
            <w:tcW w:w="4320" w:type="dxa"/>
          </w:tcPr>
          <w:p w14:paraId="39B838F0" w14:textId="51F4E35A" w:rsidR="00111B3E" w:rsidRDefault="00111B3E">
            <w:pPr>
              <w:pStyle w:val="Body"/>
            </w:pPr>
          </w:p>
        </w:tc>
        <w:tc>
          <w:tcPr>
            <w:tcW w:w="1440" w:type="dxa"/>
          </w:tcPr>
          <w:p w14:paraId="6B6D2E45" w14:textId="3AC2D58D" w:rsidR="00111B3E" w:rsidRDefault="00111B3E">
            <w:pPr>
              <w:pStyle w:val="Body"/>
            </w:pPr>
          </w:p>
        </w:tc>
        <w:tc>
          <w:tcPr>
            <w:tcW w:w="1440" w:type="dxa"/>
          </w:tcPr>
          <w:p w14:paraId="5694FA29" w14:textId="5F87649A" w:rsidR="00111B3E" w:rsidRDefault="00111B3E">
            <w:pPr>
              <w:pStyle w:val="Body"/>
            </w:pPr>
          </w:p>
        </w:tc>
        <w:tc>
          <w:tcPr>
            <w:tcW w:w="1296" w:type="dxa"/>
          </w:tcPr>
          <w:p w14:paraId="2C4DE2B8" w14:textId="77777777" w:rsidR="00111B3E" w:rsidRDefault="00111B3E"/>
        </w:tc>
        <w:tc>
          <w:tcPr>
            <w:tcW w:w="1296" w:type="dxa"/>
          </w:tcPr>
          <w:p w14:paraId="42FF6EEE" w14:textId="77777777" w:rsidR="00111B3E" w:rsidRDefault="00111B3E"/>
        </w:tc>
      </w:tr>
      <w:tr w:rsidR="00111B3E" w14:paraId="0D43E23E" w14:textId="77777777" w:rsidTr="00C53382">
        <w:tc>
          <w:tcPr>
            <w:tcW w:w="4320" w:type="dxa"/>
          </w:tcPr>
          <w:p w14:paraId="71445FEF" w14:textId="77777777" w:rsidR="00111B3E" w:rsidRDefault="00111B3E"/>
        </w:tc>
        <w:tc>
          <w:tcPr>
            <w:tcW w:w="4320" w:type="dxa"/>
          </w:tcPr>
          <w:p w14:paraId="672144BD" w14:textId="682B54BD" w:rsidR="00111B3E" w:rsidRDefault="00111B3E">
            <w:pPr>
              <w:pStyle w:val="Body"/>
            </w:pPr>
          </w:p>
        </w:tc>
        <w:tc>
          <w:tcPr>
            <w:tcW w:w="1440" w:type="dxa"/>
          </w:tcPr>
          <w:p w14:paraId="0256FCAD" w14:textId="615ECCF8" w:rsidR="00111B3E" w:rsidRDefault="00111B3E">
            <w:pPr>
              <w:pStyle w:val="Body"/>
            </w:pPr>
          </w:p>
        </w:tc>
        <w:tc>
          <w:tcPr>
            <w:tcW w:w="1440" w:type="dxa"/>
          </w:tcPr>
          <w:p w14:paraId="5E282F8B" w14:textId="0CEA3F08" w:rsidR="00111B3E" w:rsidRDefault="00111B3E">
            <w:pPr>
              <w:pStyle w:val="Body"/>
            </w:pPr>
          </w:p>
        </w:tc>
        <w:tc>
          <w:tcPr>
            <w:tcW w:w="1296" w:type="dxa"/>
          </w:tcPr>
          <w:p w14:paraId="46B4D844" w14:textId="77777777" w:rsidR="00111B3E" w:rsidRDefault="00111B3E"/>
        </w:tc>
        <w:tc>
          <w:tcPr>
            <w:tcW w:w="1296" w:type="dxa"/>
          </w:tcPr>
          <w:p w14:paraId="22D98158" w14:textId="77777777" w:rsidR="00111B3E" w:rsidRDefault="00111B3E"/>
        </w:tc>
      </w:tr>
      <w:tr w:rsidR="00111B3E" w14:paraId="09BBF003" w14:textId="77777777" w:rsidTr="00C53382">
        <w:tc>
          <w:tcPr>
            <w:tcW w:w="4320" w:type="dxa"/>
          </w:tcPr>
          <w:p w14:paraId="004B0CC4" w14:textId="77777777" w:rsidR="00111B3E" w:rsidRDefault="00000000">
            <w:pPr>
              <w:pStyle w:val="Body"/>
            </w:pPr>
            <w:r w:rsidRPr="00C53382">
              <w:rPr>
                <w:b/>
                <w:highlight w:val="cyan"/>
              </w:rPr>
              <w:t>[S 1.5] Extended Learning and Learning Acceleration</w:t>
            </w:r>
            <w:r>
              <w:rPr>
                <w:b/>
              </w:rPr>
              <w:br/>
            </w:r>
            <w:r>
              <w:t>The district will facilitate various in-person and virtual opportunities for students that promote continued learning and positive development beyond school hours: before and after school, during school, and throughout the summer.</w:t>
            </w:r>
            <w:r>
              <w:rPr>
                <w:b/>
              </w:rPr>
              <w:br/>
            </w:r>
            <w:r>
              <w:rPr>
                <w:b/>
              </w:rPr>
              <w:br/>
              <w:t>Benchmark Indicator</w:t>
            </w:r>
            <w:r>
              <w:rPr>
                <w:b/>
              </w:rPr>
              <w:br/>
            </w:r>
            <w:r>
              <w:t>District curriculum teams will analyze and prepare for ELA and math data chats after each district unit assessment and after the three screener assessments.</w:t>
            </w:r>
          </w:p>
        </w:tc>
        <w:tc>
          <w:tcPr>
            <w:tcW w:w="4320" w:type="dxa"/>
          </w:tcPr>
          <w:p w14:paraId="5A355D12" w14:textId="5E65976A" w:rsidR="00111B3E" w:rsidRDefault="00111B3E">
            <w:pPr>
              <w:pStyle w:val="Body"/>
            </w:pPr>
          </w:p>
        </w:tc>
        <w:tc>
          <w:tcPr>
            <w:tcW w:w="1440" w:type="dxa"/>
          </w:tcPr>
          <w:p w14:paraId="4C405947" w14:textId="7A6EABF3" w:rsidR="00111B3E" w:rsidRDefault="00111B3E">
            <w:pPr>
              <w:pStyle w:val="Body"/>
            </w:pPr>
          </w:p>
        </w:tc>
        <w:tc>
          <w:tcPr>
            <w:tcW w:w="1440" w:type="dxa"/>
          </w:tcPr>
          <w:p w14:paraId="5BADC392" w14:textId="02C77F71" w:rsidR="00111B3E" w:rsidRDefault="00111B3E">
            <w:pPr>
              <w:pStyle w:val="Body"/>
            </w:pPr>
          </w:p>
        </w:tc>
        <w:tc>
          <w:tcPr>
            <w:tcW w:w="1296" w:type="dxa"/>
          </w:tcPr>
          <w:p w14:paraId="34349C85" w14:textId="77777777" w:rsidR="00111B3E" w:rsidRDefault="00111B3E"/>
        </w:tc>
        <w:tc>
          <w:tcPr>
            <w:tcW w:w="1296" w:type="dxa"/>
          </w:tcPr>
          <w:p w14:paraId="6165640B" w14:textId="77777777" w:rsidR="00111B3E" w:rsidRDefault="00111B3E"/>
        </w:tc>
      </w:tr>
      <w:tr w:rsidR="00111B3E" w14:paraId="57C864C9" w14:textId="77777777" w:rsidTr="00C53382">
        <w:tc>
          <w:tcPr>
            <w:tcW w:w="14112" w:type="dxa"/>
            <w:gridSpan w:val="6"/>
            <w:shd w:val="clear" w:color="auto" w:fill="9CD3EA"/>
          </w:tcPr>
          <w:p w14:paraId="09F359CB" w14:textId="73B1063B" w:rsidR="00111B3E" w:rsidRDefault="00000000">
            <w:pPr>
              <w:pStyle w:val="GoalHeading"/>
            </w:pPr>
            <w:r>
              <w:rPr>
                <w:b/>
              </w:rPr>
              <w:t>[G 2] Expand Student Supports</w:t>
            </w:r>
            <w:r>
              <w:rPr>
                <w:b/>
              </w:rPr>
              <w:br/>
            </w:r>
            <w:r>
              <w:t>*Staff will create strong partnerships with our students, family members, guardians, and the community to implement resources and supports to establish a positive school culture and climate that meets preK-12 students’ physical, social, and emotional needs. *</w:t>
            </w:r>
            <w:r>
              <w:rPr>
                <w:b/>
              </w:rPr>
              <w:br/>
            </w:r>
            <w:r>
              <w:rPr>
                <w:b/>
              </w:rPr>
              <w:br/>
              <w:t>Performance Measure</w:t>
            </w:r>
            <w:r>
              <w:rPr>
                <w:b/>
              </w:rPr>
              <w:br/>
            </w:r>
            <w:r>
              <w:t>1. Reduce OSS from 6.7% to 4.4%</w:t>
            </w:r>
            <w:r>
              <w:br/>
              <w:t xml:space="preserve">2. Reduce Remandments from 1.1% to 0.7%. </w:t>
            </w:r>
            <w:r>
              <w:br/>
              <w:t xml:space="preserve">  </w:t>
            </w:r>
            <w:r>
              <w:br/>
            </w:r>
            <w:r>
              <w:lastRenderedPageBreak/>
              <w:br/>
              <w:t>**Student Expulsions: **</w:t>
            </w:r>
            <w:r>
              <w:br/>
            </w:r>
            <w:r>
              <w:br/>
              <w:t>a) 2020-2021 = 0.1 %</w:t>
            </w:r>
            <w:r>
              <w:br/>
            </w:r>
            <w:r>
              <w:br/>
              <w:t>b) 2021-2022 = 0.2%</w:t>
            </w:r>
            <w:r>
              <w:br/>
            </w:r>
            <w:r>
              <w:br/>
              <w:t>3) **Student Suspensions (ISS): **</w:t>
            </w:r>
            <w:r>
              <w:br/>
            </w:r>
            <w:r>
              <w:br/>
              <w:t>a) 2020-2021 = 3.3 %</w:t>
            </w:r>
            <w:r>
              <w:br/>
            </w:r>
            <w:r>
              <w:br/>
              <w:t>b) 2021-2022 = 9.1%</w:t>
            </w:r>
            <w:r>
              <w:br/>
            </w:r>
            <w:r>
              <w:br/>
              <w:t>4) **Student Suspensions (OSS): **</w:t>
            </w:r>
            <w:r>
              <w:br/>
            </w:r>
            <w:r>
              <w:br/>
              <w:t>a) 2020-2021 = 2.1 %</w:t>
            </w:r>
            <w:r>
              <w:br/>
            </w:r>
            <w:r>
              <w:br/>
              <w:t>b) 2021-2022 = 6.7%</w:t>
            </w:r>
            <w:r>
              <w:br/>
            </w:r>
            <w:r>
              <w:br/>
              <w:t>5) **Student Remandments to the Alternative School: **</w:t>
            </w:r>
            <w:r>
              <w:br/>
            </w:r>
            <w:r>
              <w:br/>
              <w:t>a) 2020-2021 = 0.2%</w:t>
            </w:r>
            <w:r>
              <w:br/>
            </w:r>
            <w:r>
              <w:br/>
              <w:t>b) 2021-2022 = 1.1%</w:t>
            </w:r>
          </w:p>
        </w:tc>
      </w:tr>
      <w:tr w:rsidR="00111B3E" w14:paraId="2E6890D0" w14:textId="77777777" w:rsidTr="00C53382">
        <w:tc>
          <w:tcPr>
            <w:tcW w:w="4320" w:type="dxa"/>
          </w:tcPr>
          <w:p w14:paraId="3DCF5B05" w14:textId="77777777" w:rsidR="00111B3E" w:rsidRDefault="00000000">
            <w:pPr>
              <w:pStyle w:val="Heading1"/>
            </w:pPr>
            <w:r>
              <w:rPr>
                <w:b/>
              </w:rPr>
              <w:lastRenderedPageBreak/>
              <w:t>Strategy</w:t>
            </w:r>
          </w:p>
        </w:tc>
        <w:tc>
          <w:tcPr>
            <w:tcW w:w="4320" w:type="dxa"/>
          </w:tcPr>
          <w:p w14:paraId="6F89FBBB" w14:textId="77777777" w:rsidR="00111B3E" w:rsidRDefault="00000000">
            <w:pPr>
              <w:pStyle w:val="Heading1"/>
              <w:rPr>
                <w:b/>
              </w:rPr>
            </w:pPr>
            <w:r>
              <w:rPr>
                <w:b/>
              </w:rPr>
              <w:t>Action Ste</w:t>
            </w:r>
            <w:r w:rsidR="001F1867">
              <w:rPr>
                <w:b/>
              </w:rPr>
              <w:t>p</w:t>
            </w:r>
          </w:p>
          <w:p w14:paraId="56E3AD26" w14:textId="0166D8B2" w:rsidR="001F1867" w:rsidRDefault="001F1867">
            <w:pPr>
              <w:pStyle w:val="Heading1"/>
            </w:pPr>
            <w:r w:rsidRPr="00C53382">
              <w:rPr>
                <w:b/>
                <w:highlight w:val="cyan"/>
              </w:rPr>
              <w:t>Schools Must Enter Action Steps Here</w:t>
            </w:r>
          </w:p>
        </w:tc>
        <w:tc>
          <w:tcPr>
            <w:tcW w:w="1440" w:type="dxa"/>
          </w:tcPr>
          <w:p w14:paraId="77767EF1" w14:textId="77777777" w:rsidR="00111B3E" w:rsidRDefault="00000000">
            <w:pPr>
              <w:pStyle w:val="Heading1"/>
            </w:pPr>
            <w:r>
              <w:rPr>
                <w:b/>
              </w:rPr>
              <w:t>Person Responsible</w:t>
            </w:r>
          </w:p>
        </w:tc>
        <w:tc>
          <w:tcPr>
            <w:tcW w:w="1440" w:type="dxa"/>
          </w:tcPr>
          <w:p w14:paraId="17F0D239" w14:textId="77777777" w:rsidR="00111B3E" w:rsidRDefault="00000000">
            <w:pPr>
              <w:pStyle w:val="Heading1"/>
            </w:pPr>
            <w:r>
              <w:rPr>
                <w:b/>
              </w:rPr>
              <w:t>Estimated Completion Date</w:t>
            </w:r>
          </w:p>
        </w:tc>
        <w:tc>
          <w:tcPr>
            <w:tcW w:w="1296" w:type="dxa"/>
          </w:tcPr>
          <w:p w14:paraId="0CBD9320" w14:textId="77777777" w:rsidR="00111B3E" w:rsidRDefault="00000000">
            <w:pPr>
              <w:pStyle w:val="Heading1"/>
            </w:pPr>
            <w:r>
              <w:rPr>
                <w:b/>
              </w:rPr>
              <w:t>Funding Source</w:t>
            </w:r>
          </w:p>
        </w:tc>
        <w:tc>
          <w:tcPr>
            <w:tcW w:w="1296" w:type="dxa"/>
          </w:tcPr>
          <w:p w14:paraId="5FC1F1DD" w14:textId="77777777" w:rsidR="00111B3E" w:rsidRDefault="00000000">
            <w:pPr>
              <w:pStyle w:val="Heading1"/>
            </w:pPr>
            <w:r>
              <w:rPr>
                <w:b/>
              </w:rPr>
              <w:t>Notes</w:t>
            </w:r>
          </w:p>
        </w:tc>
      </w:tr>
      <w:tr w:rsidR="00111B3E" w14:paraId="5DC63067" w14:textId="77777777" w:rsidTr="00C53382">
        <w:tc>
          <w:tcPr>
            <w:tcW w:w="4320" w:type="dxa"/>
          </w:tcPr>
          <w:p w14:paraId="7C885A1E" w14:textId="77777777" w:rsidR="00111B3E" w:rsidRDefault="00000000">
            <w:pPr>
              <w:pStyle w:val="Body"/>
            </w:pPr>
            <w:r w:rsidRPr="00C53382">
              <w:rPr>
                <w:b/>
                <w:highlight w:val="cyan"/>
              </w:rPr>
              <w:t>[S 2.1] SEL/Mental Health/MTSS</w:t>
            </w:r>
            <w:r>
              <w:rPr>
                <w:b/>
              </w:rPr>
              <w:br/>
            </w:r>
            <w:r>
              <w:t>Advance student academic, behavioral, and social and emotional growth through implementation of a multi-tiered system of supports that includes frequent progress monitoring.</w:t>
            </w:r>
            <w:r>
              <w:rPr>
                <w:b/>
              </w:rPr>
              <w:br/>
            </w:r>
            <w:r>
              <w:rPr>
                <w:b/>
              </w:rPr>
              <w:br/>
              <w:t>Benchmark Indicator</w:t>
            </w:r>
            <w:r>
              <w:rPr>
                <w:b/>
              </w:rPr>
              <w:br/>
            </w:r>
            <w:r>
              <w:t xml:space="preserve">1. SEL pacing guide monthly fidelity checks by the district Director of SEL to compare with online counseling and social worker referrals. </w:t>
            </w:r>
            <w:r>
              <w:br/>
              <w:t xml:space="preserve">1. Looking for a correlation between the completion of SEL lessons and the number and severity of referrals in our SIS. </w:t>
            </w:r>
            <w:r>
              <w:br/>
              <w:t xml:space="preserve">2. Looking for a correlation between the completion </w:t>
            </w:r>
            <w:r>
              <w:lastRenderedPageBreak/>
              <w:t>of SEL lessons and the number of outside mental health referrals.</w:t>
            </w:r>
          </w:p>
        </w:tc>
        <w:tc>
          <w:tcPr>
            <w:tcW w:w="4320" w:type="dxa"/>
          </w:tcPr>
          <w:p w14:paraId="15F639F2" w14:textId="51F841B7" w:rsidR="00111B3E" w:rsidRDefault="00111B3E">
            <w:pPr>
              <w:pStyle w:val="Body"/>
            </w:pPr>
          </w:p>
        </w:tc>
        <w:tc>
          <w:tcPr>
            <w:tcW w:w="1440" w:type="dxa"/>
          </w:tcPr>
          <w:p w14:paraId="2219B4EF" w14:textId="3BFDEC3D" w:rsidR="00111B3E" w:rsidRDefault="00111B3E">
            <w:pPr>
              <w:pStyle w:val="Body"/>
            </w:pPr>
          </w:p>
        </w:tc>
        <w:tc>
          <w:tcPr>
            <w:tcW w:w="1440" w:type="dxa"/>
          </w:tcPr>
          <w:p w14:paraId="4F3EFB42" w14:textId="175CA313" w:rsidR="00111B3E" w:rsidRDefault="00111B3E">
            <w:pPr>
              <w:pStyle w:val="Body"/>
            </w:pPr>
          </w:p>
        </w:tc>
        <w:tc>
          <w:tcPr>
            <w:tcW w:w="1296" w:type="dxa"/>
          </w:tcPr>
          <w:p w14:paraId="3E39E2ED" w14:textId="77777777" w:rsidR="00111B3E" w:rsidRDefault="00111B3E"/>
        </w:tc>
        <w:tc>
          <w:tcPr>
            <w:tcW w:w="1296" w:type="dxa"/>
          </w:tcPr>
          <w:p w14:paraId="4DC370AB" w14:textId="77777777" w:rsidR="00111B3E" w:rsidRDefault="00111B3E"/>
        </w:tc>
      </w:tr>
      <w:tr w:rsidR="00111B3E" w14:paraId="5107001F" w14:textId="77777777" w:rsidTr="00C53382">
        <w:tc>
          <w:tcPr>
            <w:tcW w:w="4320" w:type="dxa"/>
          </w:tcPr>
          <w:p w14:paraId="173BC8EB" w14:textId="77777777" w:rsidR="00111B3E" w:rsidRDefault="00111B3E"/>
        </w:tc>
        <w:tc>
          <w:tcPr>
            <w:tcW w:w="4320" w:type="dxa"/>
          </w:tcPr>
          <w:p w14:paraId="6B97AF9E" w14:textId="2CF03948" w:rsidR="00111B3E" w:rsidRDefault="00111B3E">
            <w:pPr>
              <w:pStyle w:val="Body"/>
            </w:pPr>
          </w:p>
        </w:tc>
        <w:tc>
          <w:tcPr>
            <w:tcW w:w="1440" w:type="dxa"/>
          </w:tcPr>
          <w:p w14:paraId="35392ED8" w14:textId="1914FF8E" w:rsidR="00111B3E" w:rsidRDefault="00111B3E">
            <w:pPr>
              <w:pStyle w:val="Body"/>
            </w:pPr>
          </w:p>
        </w:tc>
        <w:tc>
          <w:tcPr>
            <w:tcW w:w="1440" w:type="dxa"/>
          </w:tcPr>
          <w:p w14:paraId="6DC6E46A" w14:textId="559CB9C9" w:rsidR="00111B3E" w:rsidRDefault="00111B3E">
            <w:pPr>
              <w:pStyle w:val="Body"/>
            </w:pPr>
          </w:p>
        </w:tc>
        <w:tc>
          <w:tcPr>
            <w:tcW w:w="1296" w:type="dxa"/>
          </w:tcPr>
          <w:p w14:paraId="0235AF72" w14:textId="77777777" w:rsidR="00111B3E" w:rsidRDefault="00111B3E"/>
        </w:tc>
        <w:tc>
          <w:tcPr>
            <w:tcW w:w="1296" w:type="dxa"/>
          </w:tcPr>
          <w:p w14:paraId="6098627B" w14:textId="77777777" w:rsidR="00111B3E" w:rsidRDefault="00111B3E"/>
        </w:tc>
      </w:tr>
      <w:tr w:rsidR="00111B3E" w14:paraId="437A5C71" w14:textId="77777777" w:rsidTr="00C53382">
        <w:tc>
          <w:tcPr>
            <w:tcW w:w="4320" w:type="dxa"/>
          </w:tcPr>
          <w:p w14:paraId="149C8446" w14:textId="77777777" w:rsidR="00111B3E" w:rsidRDefault="00111B3E"/>
        </w:tc>
        <w:tc>
          <w:tcPr>
            <w:tcW w:w="4320" w:type="dxa"/>
          </w:tcPr>
          <w:p w14:paraId="538B3131" w14:textId="4CB0C8DA" w:rsidR="00111B3E" w:rsidRDefault="00111B3E">
            <w:pPr>
              <w:pStyle w:val="Body"/>
            </w:pPr>
          </w:p>
        </w:tc>
        <w:tc>
          <w:tcPr>
            <w:tcW w:w="1440" w:type="dxa"/>
          </w:tcPr>
          <w:p w14:paraId="1DEB14BF" w14:textId="16D24DFC" w:rsidR="00111B3E" w:rsidRDefault="00111B3E">
            <w:pPr>
              <w:pStyle w:val="Body"/>
            </w:pPr>
          </w:p>
        </w:tc>
        <w:tc>
          <w:tcPr>
            <w:tcW w:w="1440" w:type="dxa"/>
          </w:tcPr>
          <w:p w14:paraId="5E87A519" w14:textId="1D067352" w:rsidR="00111B3E" w:rsidRDefault="00111B3E">
            <w:pPr>
              <w:pStyle w:val="Body"/>
            </w:pPr>
          </w:p>
        </w:tc>
        <w:tc>
          <w:tcPr>
            <w:tcW w:w="1296" w:type="dxa"/>
          </w:tcPr>
          <w:p w14:paraId="14D59563" w14:textId="77777777" w:rsidR="00111B3E" w:rsidRDefault="00111B3E"/>
        </w:tc>
        <w:tc>
          <w:tcPr>
            <w:tcW w:w="1296" w:type="dxa"/>
          </w:tcPr>
          <w:p w14:paraId="60D0C09E" w14:textId="77777777" w:rsidR="00111B3E" w:rsidRDefault="00111B3E"/>
        </w:tc>
      </w:tr>
      <w:tr w:rsidR="00111B3E" w14:paraId="7CCAE184" w14:textId="77777777" w:rsidTr="00C53382">
        <w:tc>
          <w:tcPr>
            <w:tcW w:w="4320" w:type="dxa"/>
          </w:tcPr>
          <w:p w14:paraId="48393C3C" w14:textId="77777777" w:rsidR="00111B3E" w:rsidRDefault="00000000">
            <w:pPr>
              <w:pStyle w:val="Body"/>
            </w:pPr>
            <w:r w:rsidRPr="00C53382">
              <w:rPr>
                <w:b/>
                <w:highlight w:val="cyan"/>
              </w:rPr>
              <w:t>[S 2.2] Discipline</w:t>
            </w:r>
            <w:r>
              <w:rPr>
                <w:b/>
              </w:rPr>
              <w:br/>
            </w:r>
            <w:r>
              <w:t>Provide schools with tools and resources to improve student discipline.</w:t>
            </w:r>
            <w:r>
              <w:rPr>
                <w:b/>
              </w:rPr>
              <w:br/>
            </w:r>
            <w:r>
              <w:rPr>
                <w:b/>
              </w:rPr>
              <w:br/>
              <w:t>Benchmark Indicator</w:t>
            </w:r>
            <w:r>
              <w:rPr>
                <w:b/>
              </w:rPr>
              <w:br/>
            </w:r>
            <w:r>
              <w:t>1. SEL pacing guide monthly fidelity checks by the district Director of SEL to compare with SIS incident referrals.</w:t>
            </w:r>
            <w:r>
              <w:br/>
              <w:t>1. Looking for a correlation between the completion of SEL lessons and the number and severity of referrals in our SIS.</w:t>
            </w:r>
          </w:p>
        </w:tc>
        <w:tc>
          <w:tcPr>
            <w:tcW w:w="4320" w:type="dxa"/>
          </w:tcPr>
          <w:p w14:paraId="56C893D3" w14:textId="1B82E22A" w:rsidR="00111B3E" w:rsidRDefault="00111B3E">
            <w:pPr>
              <w:pStyle w:val="Body"/>
            </w:pPr>
          </w:p>
        </w:tc>
        <w:tc>
          <w:tcPr>
            <w:tcW w:w="1440" w:type="dxa"/>
          </w:tcPr>
          <w:p w14:paraId="67DBF12C" w14:textId="072B22C7" w:rsidR="00111B3E" w:rsidRDefault="00111B3E">
            <w:pPr>
              <w:pStyle w:val="Body"/>
            </w:pPr>
          </w:p>
        </w:tc>
        <w:tc>
          <w:tcPr>
            <w:tcW w:w="1440" w:type="dxa"/>
          </w:tcPr>
          <w:p w14:paraId="7BC017EC" w14:textId="1CE1E4A4" w:rsidR="00111B3E" w:rsidRDefault="00111B3E">
            <w:pPr>
              <w:pStyle w:val="Body"/>
            </w:pPr>
          </w:p>
        </w:tc>
        <w:tc>
          <w:tcPr>
            <w:tcW w:w="1296" w:type="dxa"/>
          </w:tcPr>
          <w:p w14:paraId="1362AB01" w14:textId="77777777" w:rsidR="00111B3E" w:rsidRDefault="00111B3E"/>
        </w:tc>
        <w:tc>
          <w:tcPr>
            <w:tcW w:w="1296" w:type="dxa"/>
          </w:tcPr>
          <w:p w14:paraId="4B46F8FD" w14:textId="77777777" w:rsidR="00111B3E" w:rsidRDefault="00111B3E"/>
        </w:tc>
      </w:tr>
      <w:tr w:rsidR="00111B3E" w14:paraId="331A5A8C" w14:textId="77777777" w:rsidTr="00C53382">
        <w:tc>
          <w:tcPr>
            <w:tcW w:w="4320" w:type="dxa"/>
          </w:tcPr>
          <w:p w14:paraId="0E3A7C78" w14:textId="77777777" w:rsidR="00111B3E" w:rsidRDefault="00111B3E"/>
        </w:tc>
        <w:tc>
          <w:tcPr>
            <w:tcW w:w="4320" w:type="dxa"/>
          </w:tcPr>
          <w:p w14:paraId="74C5B047" w14:textId="210D31D6" w:rsidR="00111B3E" w:rsidRDefault="00111B3E">
            <w:pPr>
              <w:pStyle w:val="Body"/>
            </w:pPr>
          </w:p>
        </w:tc>
        <w:tc>
          <w:tcPr>
            <w:tcW w:w="1440" w:type="dxa"/>
          </w:tcPr>
          <w:p w14:paraId="5F0885D5" w14:textId="123D9272" w:rsidR="00111B3E" w:rsidRDefault="00111B3E">
            <w:pPr>
              <w:pStyle w:val="Body"/>
            </w:pPr>
          </w:p>
        </w:tc>
        <w:tc>
          <w:tcPr>
            <w:tcW w:w="1440" w:type="dxa"/>
          </w:tcPr>
          <w:p w14:paraId="650327E6" w14:textId="5F27DFA0" w:rsidR="00111B3E" w:rsidRDefault="00111B3E">
            <w:pPr>
              <w:pStyle w:val="Body"/>
            </w:pPr>
          </w:p>
        </w:tc>
        <w:tc>
          <w:tcPr>
            <w:tcW w:w="1296" w:type="dxa"/>
          </w:tcPr>
          <w:p w14:paraId="451E957F" w14:textId="77777777" w:rsidR="00111B3E" w:rsidRDefault="00111B3E"/>
        </w:tc>
        <w:tc>
          <w:tcPr>
            <w:tcW w:w="1296" w:type="dxa"/>
          </w:tcPr>
          <w:p w14:paraId="4159F50A" w14:textId="77777777" w:rsidR="00111B3E" w:rsidRDefault="00111B3E"/>
        </w:tc>
      </w:tr>
      <w:tr w:rsidR="00111B3E" w14:paraId="15949D42" w14:textId="77777777" w:rsidTr="00C53382">
        <w:tc>
          <w:tcPr>
            <w:tcW w:w="4320" w:type="dxa"/>
          </w:tcPr>
          <w:p w14:paraId="15108581" w14:textId="77777777" w:rsidR="00111B3E" w:rsidRDefault="00000000">
            <w:pPr>
              <w:pStyle w:val="Body"/>
            </w:pPr>
            <w:r w:rsidRPr="00C53382">
              <w:rPr>
                <w:b/>
                <w:highlight w:val="cyan"/>
              </w:rPr>
              <w:t>[S 2.3] Student Attendance and Chronic Absence</w:t>
            </w:r>
            <w:r>
              <w:rPr>
                <w:b/>
              </w:rPr>
              <w:br/>
            </w:r>
            <w:r>
              <w:t>Actively engage families, communities and business partners, along with all district departments, to promote daily attendance and build awareness of the impact of lost instructional time on students’ academic and emotional success.</w:t>
            </w:r>
            <w:r>
              <w:rPr>
                <w:b/>
              </w:rPr>
              <w:br/>
            </w:r>
            <w:r>
              <w:rPr>
                <w:b/>
              </w:rPr>
              <w:br/>
              <w:t>Benchmark Indicator</w:t>
            </w:r>
            <w:r>
              <w:rPr>
                <w:b/>
              </w:rPr>
              <w:br/>
            </w:r>
            <w:r>
              <w:t>The CMCSS Service Navigator and Foster Care Liaison will conduct a review of attendance in SIS every four weeks for at-risk populations. They will concurrently review data from building level FIT Champions/Foster Care Student Success Coach that is collected weekly.</w:t>
            </w:r>
          </w:p>
        </w:tc>
        <w:tc>
          <w:tcPr>
            <w:tcW w:w="4320" w:type="dxa"/>
          </w:tcPr>
          <w:p w14:paraId="35DE54C5" w14:textId="329C99BE" w:rsidR="00111B3E" w:rsidRDefault="00111B3E">
            <w:pPr>
              <w:pStyle w:val="Body"/>
            </w:pPr>
          </w:p>
        </w:tc>
        <w:tc>
          <w:tcPr>
            <w:tcW w:w="1440" w:type="dxa"/>
          </w:tcPr>
          <w:p w14:paraId="2D66D82B" w14:textId="3CC2D92D" w:rsidR="00111B3E" w:rsidRDefault="00111B3E">
            <w:pPr>
              <w:pStyle w:val="Body"/>
            </w:pPr>
          </w:p>
        </w:tc>
        <w:tc>
          <w:tcPr>
            <w:tcW w:w="1440" w:type="dxa"/>
          </w:tcPr>
          <w:p w14:paraId="5D7FB1DA" w14:textId="1A12744F" w:rsidR="00111B3E" w:rsidRDefault="00111B3E">
            <w:pPr>
              <w:pStyle w:val="Body"/>
            </w:pPr>
          </w:p>
        </w:tc>
        <w:tc>
          <w:tcPr>
            <w:tcW w:w="1296" w:type="dxa"/>
          </w:tcPr>
          <w:p w14:paraId="06D6D5EF" w14:textId="77777777" w:rsidR="00111B3E" w:rsidRDefault="00111B3E"/>
        </w:tc>
        <w:tc>
          <w:tcPr>
            <w:tcW w:w="1296" w:type="dxa"/>
          </w:tcPr>
          <w:p w14:paraId="7AD9EE37" w14:textId="77777777" w:rsidR="00111B3E" w:rsidRDefault="00111B3E"/>
        </w:tc>
      </w:tr>
      <w:tr w:rsidR="00111B3E" w14:paraId="1DD79B1C" w14:textId="77777777" w:rsidTr="00C53382">
        <w:tc>
          <w:tcPr>
            <w:tcW w:w="4320" w:type="dxa"/>
          </w:tcPr>
          <w:p w14:paraId="0161A866" w14:textId="77777777" w:rsidR="00111B3E" w:rsidRDefault="00111B3E"/>
        </w:tc>
        <w:tc>
          <w:tcPr>
            <w:tcW w:w="4320" w:type="dxa"/>
          </w:tcPr>
          <w:p w14:paraId="1A86061B" w14:textId="5104AFD3" w:rsidR="00111B3E" w:rsidRDefault="00111B3E">
            <w:pPr>
              <w:pStyle w:val="Body"/>
            </w:pPr>
          </w:p>
        </w:tc>
        <w:tc>
          <w:tcPr>
            <w:tcW w:w="1440" w:type="dxa"/>
          </w:tcPr>
          <w:p w14:paraId="22A5045E" w14:textId="35B8A0CD" w:rsidR="00111B3E" w:rsidRDefault="00111B3E">
            <w:pPr>
              <w:pStyle w:val="Body"/>
            </w:pPr>
          </w:p>
        </w:tc>
        <w:tc>
          <w:tcPr>
            <w:tcW w:w="1440" w:type="dxa"/>
          </w:tcPr>
          <w:p w14:paraId="2FA53EDD" w14:textId="06FDAEF2" w:rsidR="00111B3E" w:rsidRDefault="00111B3E">
            <w:pPr>
              <w:pStyle w:val="Body"/>
            </w:pPr>
          </w:p>
        </w:tc>
        <w:tc>
          <w:tcPr>
            <w:tcW w:w="1296" w:type="dxa"/>
          </w:tcPr>
          <w:p w14:paraId="716962A9" w14:textId="77777777" w:rsidR="00111B3E" w:rsidRDefault="00111B3E"/>
        </w:tc>
        <w:tc>
          <w:tcPr>
            <w:tcW w:w="1296" w:type="dxa"/>
          </w:tcPr>
          <w:p w14:paraId="72FAE2B1" w14:textId="77777777" w:rsidR="00111B3E" w:rsidRDefault="00111B3E"/>
        </w:tc>
      </w:tr>
      <w:tr w:rsidR="00111B3E" w14:paraId="2C95F36B" w14:textId="77777777" w:rsidTr="00C53382">
        <w:tc>
          <w:tcPr>
            <w:tcW w:w="4320" w:type="dxa"/>
          </w:tcPr>
          <w:p w14:paraId="73664FEB" w14:textId="77777777" w:rsidR="00111B3E" w:rsidRDefault="00111B3E"/>
        </w:tc>
        <w:tc>
          <w:tcPr>
            <w:tcW w:w="4320" w:type="dxa"/>
          </w:tcPr>
          <w:p w14:paraId="3714E6E7" w14:textId="7D05186D" w:rsidR="00111B3E" w:rsidRDefault="00111B3E">
            <w:pPr>
              <w:pStyle w:val="Body"/>
            </w:pPr>
          </w:p>
        </w:tc>
        <w:tc>
          <w:tcPr>
            <w:tcW w:w="1440" w:type="dxa"/>
          </w:tcPr>
          <w:p w14:paraId="37EB0190" w14:textId="4FF61E0A" w:rsidR="00111B3E" w:rsidRDefault="00111B3E">
            <w:pPr>
              <w:pStyle w:val="Body"/>
            </w:pPr>
          </w:p>
        </w:tc>
        <w:tc>
          <w:tcPr>
            <w:tcW w:w="1440" w:type="dxa"/>
          </w:tcPr>
          <w:p w14:paraId="4DA7BC64" w14:textId="2FEB3668" w:rsidR="00111B3E" w:rsidRDefault="00111B3E">
            <w:pPr>
              <w:pStyle w:val="Body"/>
            </w:pPr>
          </w:p>
        </w:tc>
        <w:tc>
          <w:tcPr>
            <w:tcW w:w="1296" w:type="dxa"/>
          </w:tcPr>
          <w:p w14:paraId="36F32251" w14:textId="77777777" w:rsidR="00111B3E" w:rsidRDefault="00111B3E"/>
        </w:tc>
        <w:tc>
          <w:tcPr>
            <w:tcW w:w="1296" w:type="dxa"/>
          </w:tcPr>
          <w:p w14:paraId="28785D09" w14:textId="77777777" w:rsidR="00111B3E" w:rsidRDefault="00111B3E"/>
        </w:tc>
      </w:tr>
      <w:tr w:rsidR="00111B3E" w14:paraId="3FB42F8B" w14:textId="77777777" w:rsidTr="00C53382">
        <w:tc>
          <w:tcPr>
            <w:tcW w:w="14112" w:type="dxa"/>
            <w:gridSpan w:val="6"/>
            <w:shd w:val="clear" w:color="auto" w:fill="9CD3EA"/>
          </w:tcPr>
          <w:p w14:paraId="0FA81ED9" w14:textId="77777777" w:rsidR="00111B3E" w:rsidRDefault="00000000">
            <w:pPr>
              <w:pStyle w:val="GoalHeading"/>
            </w:pPr>
            <w:r>
              <w:rPr>
                <w:b/>
              </w:rPr>
              <w:t>[G 3] Maximize Employee Capacity</w:t>
            </w:r>
            <w:r>
              <w:rPr>
                <w:b/>
              </w:rPr>
              <w:br/>
            </w:r>
            <w:r>
              <w:t>*The district will create a competitive recruitment strategy for all positions, expand multiple pathways into the teaching profession, and increase individualized professional learning opportunities for all positions to ensure CMCSS students are provided access to a high-quality learning environment to graduate college and career ready. *</w:t>
            </w:r>
            <w:r>
              <w:rPr>
                <w:b/>
              </w:rPr>
              <w:br/>
            </w:r>
            <w:r>
              <w:rPr>
                <w:b/>
              </w:rPr>
              <w:br/>
              <w:t>Performance Measure</w:t>
            </w:r>
            <w:r>
              <w:rPr>
                <w:b/>
              </w:rPr>
              <w:br/>
            </w:r>
            <w:r>
              <w:lastRenderedPageBreak/>
              <w:t xml:space="preserve">1. Increase district CMCSS Certified employee retention rates from 82.4% to 85.4%. </w:t>
            </w:r>
            <w:r>
              <w:br/>
              <w:t>2. Increase district CMCSS Classified employee retention rates from 79% to 81.2%.</w:t>
            </w:r>
            <w:r>
              <w:br/>
            </w:r>
            <w:r>
              <w:br/>
              <w:t>**CMCSS Certified Retention Rate: **</w:t>
            </w:r>
            <w:r>
              <w:br/>
            </w:r>
            <w:r>
              <w:br/>
              <w:t>1. 2019–2020 Retention rate: 88.37%</w:t>
            </w:r>
            <w:r>
              <w:br/>
            </w:r>
            <w:r>
              <w:br/>
              <w:t>2. 2020–2021 Retention rate: 85.9%</w:t>
            </w:r>
            <w:r>
              <w:br/>
            </w:r>
            <w:r>
              <w:br/>
              <w:t>3. 2021–2022 Retention rate: 82.4%</w:t>
            </w:r>
            <w:r>
              <w:br/>
            </w:r>
            <w:r>
              <w:br/>
              <w:t>**CMCSS Classified Retention Rate: **</w:t>
            </w:r>
            <w:r>
              <w:br/>
            </w:r>
            <w:r>
              <w:br/>
              <w:t>1. 2019–2020 Retention rate: 83.3%</w:t>
            </w:r>
            <w:r>
              <w:br/>
            </w:r>
            <w:r>
              <w:br/>
              <w:t>2. 2020–2021 Retention rate: 81%</w:t>
            </w:r>
            <w:r>
              <w:br/>
            </w:r>
            <w:r>
              <w:br/>
              <w:t>3. 2021–2022 Retention rate: 79%</w:t>
            </w:r>
          </w:p>
        </w:tc>
      </w:tr>
      <w:tr w:rsidR="00111B3E" w14:paraId="4AD4125A" w14:textId="77777777" w:rsidTr="00C53382">
        <w:tc>
          <w:tcPr>
            <w:tcW w:w="4320" w:type="dxa"/>
          </w:tcPr>
          <w:p w14:paraId="7E90B09F" w14:textId="77777777" w:rsidR="00111B3E" w:rsidRDefault="00000000">
            <w:pPr>
              <w:pStyle w:val="Heading1"/>
            </w:pPr>
            <w:r>
              <w:rPr>
                <w:b/>
              </w:rPr>
              <w:lastRenderedPageBreak/>
              <w:t>Strategy</w:t>
            </w:r>
          </w:p>
        </w:tc>
        <w:tc>
          <w:tcPr>
            <w:tcW w:w="4320" w:type="dxa"/>
          </w:tcPr>
          <w:p w14:paraId="51AE042B" w14:textId="77777777" w:rsidR="00111B3E" w:rsidRDefault="00000000">
            <w:pPr>
              <w:pStyle w:val="Heading1"/>
              <w:rPr>
                <w:b/>
              </w:rPr>
            </w:pPr>
            <w:r>
              <w:rPr>
                <w:b/>
              </w:rPr>
              <w:t>Action Ste</w:t>
            </w:r>
            <w:r w:rsidR="001F1867">
              <w:rPr>
                <w:b/>
              </w:rPr>
              <w:t>p</w:t>
            </w:r>
          </w:p>
          <w:p w14:paraId="0FD4CEC2" w14:textId="1BE2BBA4" w:rsidR="001F1867" w:rsidRDefault="001F1867">
            <w:pPr>
              <w:pStyle w:val="Heading1"/>
            </w:pPr>
            <w:r w:rsidRPr="00C53382">
              <w:rPr>
                <w:b/>
                <w:highlight w:val="cyan"/>
              </w:rPr>
              <w:t>Schools Must Enter Action Steps Here</w:t>
            </w:r>
          </w:p>
        </w:tc>
        <w:tc>
          <w:tcPr>
            <w:tcW w:w="1440" w:type="dxa"/>
          </w:tcPr>
          <w:p w14:paraId="720C99DA" w14:textId="77777777" w:rsidR="00111B3E" w:rsidRDefault="00000000">
            <w:pPr>
              <w:pStyle w:val="Heading1"/>
            </w:pPr>
            <w:r>
              <w:rPr>
                <w:b/>
              </w:rPr>
              <w:t>Person Responsible</w:t>
            </w:r>
          </w:p>
        </w:tc>
        <w:tc>
          <w:tcPr>
            <w:tcW w:w="1440" w:type="dxa"/>
          </w:tcPr>
          <w:p w14:paraId="687734EE" w14:textId="77777777" w:rsidR="00111B3E" w:rsidRDefault="00000000">
            <w:pPr>
              <w:pStyle w:val="Heading1"/>
            </w:pPr>
            <w:r>
              <w:rPr>
                <w:b/>
              </w:rPr>
              <w:t>Estimated Completion Date</w:t>
            </w:r>
          </w:p>
        </w:tc>
        <w:tc>
          <w:tcPr>
            <w:tcW w:w="1296" w:type="dxa"/>
          </w:tcPr>
          <w:p w14:paraId="40368EAA" w14:textId="77777777" w:rsidR="00111B3E" w:rsidRDefault="00000000">
            <w:pPr>
              <w:pStyle w:val="Heading1"/>
            </w:pPr>
            <w:r>
              <w:rPr>
                <w:b/>
              </w:rPr>
              <w:t>Funding Source</w:t>
            </w:r>
          </w:p>
        </w:tc>
        <w:tc>
          <w:tcPr>
            <w:tcW w:w="1296" w:type="dxa"/>
          </w:tcPr>
          <w:p w14:paraId="080BE16F" w14:textId="77777777" w:rsidR="00111B3E" w:rsidRDefault="00000000">
            <w:pPr>
              <w:pStyle w:val="Heading1"/>
            </w:pPr>
            <w:r>
              <w:rPr>
                <w:b/>
              </w:rPr>
              <w:t>Notes</w:t>
            </w:r>
          </w:p>
        </w:tc>
      </w:tr>
      <w:tr w:rsidR="00111B3E" w14:paraId="6BB765FA" w14:textId="77777777" w:rsidTr="00C53382">
        <w:tc>
          <w:tcPr>
            <w:tcW w:w="4320" w:type="dxa"/>
          </w:tcPr>
          <w:p w14:paraId="44D0D4EC" w14:textId="77777777" w:rsidR="00111B3E" w:rsidRDefault="00000000">
            <w:pPr>
              <w:pStyle w:val="Body"/>
            </w:pPr>
            <w:r w:rsidRPr="001F1867">
              <w:rPr>
                <w:b/>
                <w:highlight w:val="cyan"/>
              </w:rPr>
              <w:t>[S 3.1] Recruitment and Retention</w:t>
            </w:r>
            <w:r>
              <w:rPr>
                <w:b/>
              </w:rPr>
              <w:br/>
            </w:r>
            <w:r>
              <w:t>Ensure that staff orientation, support, and mentorship is of sufficient intensity and duration to recruit and retain the best staff to address the needs of schools and students.</w:t>
            </w:r>
            <w:r>
              <w:rPr>
                <w:b/>
              </w:rPr>
              <w:br/>
            </w:r>
            <w:r>
              <w:rPr>
                <w:b/>
              </w:rPr>
              <w:br/>
              <w:t>Benchmark Indicator</w:t>
            </w:r>
            <w:r>
              <w:rPr>
                <w:b/>
              </w:rPr>
              <w:br/>
            </w:r>
            <w:r>
              <w:t>Tracking fill rates throughout the year for board presentations.</w:t>
            </w:r>
          </w:p>
        </w:tc>
        <w:tc>
          <w:tcPr>
            <w:tcW w:w="4320" w:type="dxa"/>
          </w:tcPr>
          <w:p w14:paraId="1A852D7D" w14:textId="3672781D" w:rsidR="00111B3E" w:rsidRDefault="00111B3E">
            <w:pPr>
              <w:pStyle w:val="Body"/>
            </w:pPr>
          </w:p>
        </w:tc>
        <w:tc>
          <w:tcPr>
            <w:tcW w:w="1440" w:type="dxa"/>
          </w:tcPr>
          <w:p w14:paraId="022EE064" w14:textId="6076D16A" w:rsidR="00111B3E" w:rsidRDefault="00111B3E">
            <w:pPr>
              <w:pStyle w:val="Body"/>
            </w:pPr>
          </w:p>
        </w:tc>
        <w:tc>
          <w:tcPr>
            <w:tcW w:w="1440" w:type="dxa"/>
          </w:tcPr>
          <w:p w14:paraId="5B6316D9" w14:textId="494CCA64" w:rsidR="00111B3E" w:rsidRDefault="00111B3E">
            <w:pPr>
              <w:pStyle w:val="Body"/>
            </w:pPr>
          </w:p>
        </w:tc>
        <w:tc>
          <w:tcPr>
            <w:tcW w:w="1296" w:type="dxa"/>
          </w:tcPr>
          <w:p w14:paraId="0370575C" w14:textId="77777777" w:rsidR="00111B3E" w:rsidRDefault="00111B3E"/>
        </w:tc>
        <w:tc>
          <w:tcPr>
            <w:tcW w:w="1296" w:type="dxa"/>
          </w:tcPr>
          <w:p w14:paraId="07D40458" w14:textId="77777777" w:rsidR="00111B3E" w:rsidRDefault="00111B3E"/>
        </w:tc>
      </w:tr>
      <w:tr w:rsidR="00111B3E" w14:paraId="27786A36" w14:textId="77777777" w:rsidTr="00C53382">
        <w:tc>
          <w:tcPr>
            <w:tcW w:w="4320" w:type="dxa"/>
          </w:tcPr>
          <w:p w14:paraId="75D028FE" w14:textId="77777777" w:rsidR="00111B3E" w:rsidRDefault="00111B3E"/>
        </w:tc>
        <w:tc>
          <w:tcPr>
            <w:tcW w:w="4320" w:type="dxa"/>
          </w:tcPr>
          <w:p w14:paraId="4DC19E2B" w14:textId="71595A23" w:rsidR="00111B3E" w:rsidRDefault="00111B3E">
            <w:pPr>
              <w:pStyle w:val="Body"/>
            </w:pPr>
          </w:p>
        </w:tc>
        <w:tc>
          <w:tcPr>
            <w:tcW w:w="1440" w:type="dxa"/>
          </w:tcPr>
          <w:p w14:paraId="17DDC83E" w14:textId="0BE3E60E" w:rsidR="00111B3E" w:rsidRDefault="00111B3E">
            <w:pPr>
              <w:pStyle w:val="Body"/>
            </w:pPr>
          </w:p>
        </w:tc>
        <w:tc>
          <w:tcPr>
            <w:tcW w:w="1440" w:type="dxa"/>
          </w:tcPr>
          <w:p w14:paraId="3257A63A" w14:textId="40FD6BF2" w:rsidR="00111B3E" w:rsidRDefault="00111B3E">
            <w:pPr>
              <w:pStyle w:val="Body"/>
            </w:pPr>
          </w:p>
        </w:tc>
        <w:tc>
          <w:tcPr>
            <w:tcW w:w="1296" w:type="dxa"/>
          </w:tcPr>
          <w:p w14:paraId="6790BF48" w14:textId="77777777" w:rsidR="00111B3E" w:rsidRDefault="00111B3E"/>
        </w:tc>
        <w:tc>
          <w:tcPr>
            <w:tcW w:w="1296" w:type="dxa"/>
          </w:tcPr>
          <w:p w14:paraId="3707208C" w14:textId="77777777" w:rsidR="00111B3E" w:rsidRDefault="00111B3E"/>
        </w:tc>
      </w:tr>
      <w:tr w:rsidR="00111B3E" w14:paraId="2908D5BF" w14:textId="77777777" w:rsidTr="00C53382">
        <w:tc>
          <w:tcPr>
            <w:tcW w:w="4320" w:type="dxa"/>
          </w:tcPr>
          <w:p w14:paraId="518F5ACE" w14:textId="77777777" w:rsidR="00111B3E" w:rsidRDefault="00000000">
            <w:pPr>
              <w:pStyle w:val="Body"/>
            </w:pPr>
            <w:r w:rsidRPr="001F1867">
              <w:rPr>
                <w:b/>
                <w:highlight w:val="cyan"/>
              </w:rPr>
              <w:t>[S 3.2] Professional Learning</w:t>
            </w:r>
            <w:r>
              <w:rPr>
                <w:b/>
              </w:rPr>
              <w:br/>
            </w:r>
            <w:r>
              <w:t>Provide training and leadership programs for all employees to gain skills and certifications ensuring that students have contact with highly qualified staff on every level.</w:t>
            </w:r>
            <w:r>
              <w:rPr>
                <w:b/>
              </w:rPr>
              <w:br/>
            </w:r>
            <w:r>
              <w:rPr>
                <w:b/>
              </w:rPr>
              <w:br/>
              <w:t>Benchmark Indicator</w:t>
            </w:r>
            <w:r>
              <w:rPr>
                <w:b/>
              </w:rPr>
              <w:br/>
            </w:r>
            <w:r>
              <w:t>Monthly meetings evaluating teacher feedback to ensure trainings are meeting the needs of staff.</w:t>
            </w:r>
          </w:p>
        </w:tc>
        <w:tc>
          <w:tcPr>
            <w:tcW w:w="4320" w:type="dxa"/>
          </w:tcPr>
          <w:p w14:paraId="039B6BBA" w14:textId="50F72EB0" w:rsidR="00111B3E" w:rsidRDefault="00000000">
            <w:pPr>
              <w:pStyle w:val="Body"/>
            </w:pPr>
            <w:r>
              <w:br/>
            </w:r>
          </w:p>
        </w:tc>
        <w:tc>
          <w:tcPr>
            <w:tcW w:w="1440" w:type="dxa"/>
          </w:tcPr>
          <w:p w14:paraId="7C807EB5" w14:textId="35C6E404" w:rsidR="00111B3E" w:rsidRDefault="00111B3E">
            <w:pPr>
              <w:pStyle w:val="Body"/>
            </w:pPr>
          </w:p>
        </w:tc>
        <w:tc>
          <w:tcPr>
            <w:tcW w:w="1440" w:type="dxa"/>
          </w:tcPr>
          <w:p w14:paraId="6889D22C" w14:textId="2A262B45" w:rsidR="00111B3E" w:rsidRDefault="00111B3E">
            <w:pPr>
              <w:pStyle w:val="Body"/>
            </w:pPr>
          </w:p>
        </w:tc>
        <w:tc>
          <w:tcPr>
            <w:tcW w:w="1296" w:type="dxa"/>
          </w:tcPr>
          <w:p w14:paraId="0A50DBE5" w14:textId="77777777" w:rsidR="00111B3E" w:rsidRDefault="00111B3E"/>
        </w:tc>
        <w:tc>
          <w:tcPr>
            <w:tcW w:w="1296" w:type="dxa"/>
          </w:tcPr>
          <w:p w14:paraId="5B10A7F9" w14:textId="77777777" w:rsidR="00111B3E" w:rsidRDefault="00111B3E"/>
        </w:tc>
      </w:tr>
      <w:tr w:rsidR="00111B3E" w14:paraId="74209811" w14:textId="77777777" w:rsidTr="00C53382">
        <w:tc>
          <w:tcPr>
            <w:tcW w:w="4320" w:type="dxa"/>
          </w:tcPr>
          <w:p w14:paraId="52FCD581" w14:textId="77777777" w:rsidR="00111B3E" w:rsidRDefault="00111B3E"/>
        </w:tc>
        <w:tc>
          <w:tcPr>
            <w:tcW w:w="4320" w:type="dxa"/>
          </w:tcPr>
          <w:p w14:paraId="48979CE4" w14:textId="3D9B32A7" w:rsidR="00111B3E" w:rsidRDefault="00000000">
            <w:pPr>
              <w:pStyle w:val="Body"/>
            </w:pPr>
            <w:r>
              <w:br/>
            </w:r>
          </w:p>
        </w:tc>
        <w:tc>
          <w:tcPr>
            <w:tcW w:w="1440" w:type="dxa"/>
          </w:tcPr>
          <w:p w14:paraId="7B6AA74C" w14:textId="39BB4A6E" w:rsidR="00111B3E" w:rsidRDefault="00111B3E">
            <w:pPr>
              <w:pStyle w:val="Body"/>
            </w:pPr>
          </w:p>
        </w:tc>
        <w:tc>
          <w:tcPr>
            <w:tcW w:w="1440" w:type="dxa"/>
          </w:tcPr>
          <w:p w14:paraId="45A111F5" w14:textId="612334CD" w:rsidR="00111B3E" w:rsidRDefault="00111B3E">
            <w:pPr>
              <w:pStyle w:val="Body"/>
            </w:pPr>
          </w:p>
        </w:tc>
        <w:tc>
          <w:tcPr>
            <w:tcW w:w="1296" w:type="dxa"/>
          </w:tcPr>
          <w:p w14:paraId="4F3ACDE1" w14:textId="77777777" w:rsidR="00111B3E" w:rsidRDefault="00111B3E"/>
        </w:tc>
        <w:tc>
          <w:tcPr>
            <w:tcW w:w="1296" w:type="dxa"/>
          </w:tcPr>
          <w:p w14:paraId="1DF8FD78" w14:textId="77777777" w:rsidR="00111B3E" w:rsidRDefault="00111B3E"/>
        </w:tc>
      </w:tr>
    </w:tbl>
    <w:p w14:paraId="2176BC37" w14:textId="77777777" w:rsidR="00D24119" w:rsidRDefault="00D24119"/>
    <w:sectPr w:rsidR="00D24119" w:rsidSect="00CD7A1B">
      <w:headerReference w:type="default" r:id="rId10"/>
      <w:footerReference w:type="default" r:id="rId11"/>
      <w:pgSz w:w="15840" w:h="12240" w:orient="landscape"/>
      <w:pgMar w:top="432" w:right="864" w:bottom="432"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EE39" w14:textId="77777777" w:rsidR="00B51BB3" w:rsidRDefault="00B51BB3">
      <w:r>
        <w:separator/>
      </w:r>
    </w:p>
  </w:endnote>
  <w:endnote w:type="continuationSeparator" w:id="0">
    <w:p w14:paraId="2D3FBC43" w14:textId="77777777" w:rsidR="00B51BB3" w:rsidRDefault="00B5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E4E5" w14:textId="77777777" w:rsidR="00F26CCB" w:rsidRDefault="00F26C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D902" w14:textId="77777777" w:rsidR="00B51BB3" w:rsidRDefault="00B51BB3">
      <w:r>
        <w:separator/>
      </w:r>
    </w:p>
  </w:footnote>
  <w:footnote w:type="continuationSeparator" w:id="0">
    <w:p w14:paraId="614C250C" w14:textId="77777777" w:rsidR="00B51BB3" w:rsidRDefault="00B5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BC3" w14:textId="77777777" w:rsidR="00F26CCB" w:rsidRDefault="00F26C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CB"/>
    <w:rsid w:val="00015CA8"/>
    <w:rsid w:val="00111B3E"/>
    <w:rsid w:val="001F1867"/>
    <w:rsid w:val="00293A3D"/>
    <w:rsid w:val="002D3B2C"/>
    <w:rsid w:val="00353BD9"/>
    <w:rsid w:val="0061485F"/>
    <w:rsid w:val="00677FCF"/>
    <w:rsid w:val="008F02A4"/>
    <w:rsid w:val="009527B0"/>
    <w:rsid w:val="00A36AB4"/>
    <w:rsid w:val="00AB47DC"/>
    <w:rsid w:val="00B371EB"/>
    <w:rsid w:val="00B51BB3"/>
    <w:rsid w:val="00C53382"/>
    <w:rsid w:val="00C62276"/>
    <w:rsid w:val="00CD7A1B"/>
    <w:rsid w:val="00D24119"/>
    <w:rsid w:val="00E87CB6"/>
    <w:rsid w:val="00EF7504"/>
    <w:rsid w:val="00F26CCB"/>
    <w:rsid w:val="446682EB"/>
    <w:rsid w:val="740F8E5A"/>
    <w:rsid w:val="7914B9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0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26CCB"/>
    <w:rPr>
      <w:sz w:val="24"/>
      <w:szCs w:val="24"/>
    </w:rPr>
  </w:style>
  <w:style w:type="paragraph" w:styleId="Heading1">
    <w:name w:val="heading 1"/>
    <w:rsid w:val="002D3B2C"/>
    <w:pPr>
      <w:spacing w:before="100" w:line="276" w:lineRule="auto"/>
      <w:outlineLvl w:val="0"/>
    </w:pPr>
    <w:rPr>
      <w:rFonts w:ascii="Arial" w:hAnsi="Arial"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CCB"/>
    <w:rPr>
      <w:u w:val="single"/>
    </w:rPr>
  </w:style>
  <w:style w:type="paragraph" w:customStyle="1" w:styleId="HeaderFooter">
    <w:name w:val="Header &amp; Footer"/>
    <w:rsid w:val="00F26CCB"/>
    <w:pPr>
      <w:tabs>
        <w:tab w:val="right" w:pos="9020"/>
      </w:tabs>
    </w:pPr>
    <w:rPr>
      <w:rFonts w:ascii="Helvetica Neue" w:hAnsi="Helvetica Neue" w:cs="Arial Unicode MS"/>
      <w:color w:val="000000"/>
      <w:sz w:val="24"/>
      <w:szCs w:val="24"/>
    </w:rPr>
  </w:style>
  <w:style w:type="paragraph" w:customStyle="1" w:styleId="Body">
    <w:name w:val="Body"/>
    <w:rsid w:val="002D3B2C"/>
    <w:pPr>
      <w:spacing w:before="100" w:line="276" w:lineRule="auto"/>
    </w:pPr>
    <w:rPr>
      <w:rFonts w:ascii="Arial" w:hAnsi="Arial" w:cs="Arial Unicode MS"/>
      <w:color w:val="000000"/>
      <w:sz w:val="18"/>
      <w:szCs w:val="18"/>
      <w:u w:color="000000"/>
    </w:rPr>
  </w:style>
  <w:style w:type="paragraph" w:customStyle="1" w:styleId="GoalHeading">
    <w:name w:val="Goal Heading"/>
    <w:autoRedefine/>
    <w:rsid w:val="002D3B2C"/>
    <w:pPr>
      <w:pBdr>
        <w:top w:val="none" w:sz="0" w:space="0" w:color="auto"/>
        <w:left w:val="none" w:sz="0" w:space="0" w:color="auto"/>
        <w:bottom w:val="none" w:sz="0" w:space="0" w:color="auto"/>
        <w:right w:val="none" w:sz="0" w:space="0" w:color="auto"/>
        <w:between w:val="none" w:sz="0" w:space="0" w:color="auto"/>
        <w:bar w:val="none" w:sz="0" w:color="auto"/>
      </w:pBdr>
      <w:spacing w:before="100" w:line="276" w:lineRule="auto"/>
    </w:pPr>
    <w:rPr>
      <w:rFonts w:ascii="Arial" w:hAnsi="Arial" w:cs="Arial Unicode MS"/>
      <w:color w:val="000000"/>
      <w:sz w:val="18"/>
      <w:szCs w:val="18"/>
      <w:u w:color="000000"/>
    </w:rPr>
  </w:style>
  <w:style w:type="table" w:styleId="TableGrid">
    <w:name w:val="Table Grid"/>
    <w:basedOn w:val="TableNormal"/>
    <w:uiPriority w:val="59"/>
    <w:rsid w:val="00293A3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4-Accent11">
    <w:name w:val="List Table 4 - Accent 11"/>
    <w:basedOn w:val="TableNormal"/>
    <w:uiPriority w:val="49"/>
    <w:rsid w:val="009527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9527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rsid w:val="0067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486">
      <w:bodyDiv w:val="1"/>
      <w:marLeft w:val="0"/>
      <w:marRight w:val="0"/>
      <w:marTop w:val="0"/>
      <w:marBottom w:val="0"/>
      <w:divBdr>
        <w:top w:val="none" w:sz="0" w:space="0" w:color="auto"/>
        <w:left w:val="none" w:sz="0" w:space="0" w:color="auto"/>
        <w:bottom w:val="none" w:sz="0" w:space="0" w:color="auto"/>
        <w:right w:val="none" w:sz="0" w:space="0" w:color="auto"/>
      </w:divBdr>
      <w:divsChild>
        <w:div w:id="23867440">
          <w:marLeft w:val="0"/>
          <w:marRight w:val="0"/>
          <w:marTop w:val="0"/>
          <w:marBottom w:val="0"/>
          <w:divBdr>
            <w:top w:val="none" w:sz="0" w:space="0" w:color="auto"/>
            <w:left w:val="none" w:sz="0" w:space="0" w:color="auto"/>
            <w:bottom w:val="none" w:sz="0" w:space="0" w:color="auto"/>
            <w:right w:val="none" w:sz="0" w:space="0" w:color="auto"/>
          </w:divBdr>
        </w:div>
        <w:div w:id="1306468415">
          <w:marLeft w:val="-225"/>
          <w:marRight w:val="-225"/>
          <w:marTop w:val="0"/>
          <w:marBottom w:val="0"/>
          <w:divBdr>
            <w:top w:val="none" w:sz="0" w:space="0" w:color="auto"/>
            <w:left w:val="none" w:sz="0" w:space="0" w:color="auto"/>
            <w:bottom w:val="none" w:sz="0" w:space="0" w:color="auto"/>
            <w:right w:val="none" w:sz="0" w:space="0" w:color="auto"/>
          </w:divBdr>
          <w:divsChild>
            <w:div w:id="317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6526">
      <w:bodyDiv w:val="1"/>
      <w:marLeft w:val="0"/>
      <w:marRight w:val="0"/>
      <w:marTop w:val="0"/>
      <w:marBottom w:val="0"/>
      <w:divBdr>
        <w:top w:val="none" w:sz="0" w:space="0" w:color="auto"/>
        <w:left w:val="none" w:sz="0" w:space="0" w:color="auto"/>
        <w:bottom w:val="none" w:sz="0" w:space="0" w:color="auto"/>
        <w:right w:val="none" w:sz="0" w:space="0" w:color="auto"/>
      </w:divBdr>
    </w:div>
    <w:div w:id="2074697133">
      <w:bodyDiv w:val="1"/>
      <w:marLeft w:val="0"/>
      <w:marRight w:val="0"/>
      <w:marTop w:val="0"/>
      <w:marBottom w:val="0"/>
      <w:divBdr>
        <w:top w:val="none" w:sz="0" w:space="0" w:color="auto"/>
        <w:left w:val="none" w:sz="0" w:space="0" w:color="auto"/>
        <w:bottom w:val="none" w:sz="0" w:space="0" w:color="auto"/>
        <w:right w:val="none" w:sz="0" w:space="0" w:color="auto"/>
      </w:divBdr>
      <w:divsChild>
        <w:div w:id="897739621">
          <w:marLeft w:val="0"/>
          <w:marRight w:val="0"/>
          <w:marTop w:val="0"/>
          <w:marBottom w:val="0"/>
          <w:divBdr>
            <w:top w:val="none" w:sz="0" w:space="0" w:color="auto"/>
            <w:left w:val="none" w:sz="0" w:space="0" w:color="auto"/>
            <w:bottom w:val="none" w:sz="0" w:space="0" w:color="auto"/>
            <w:right w:val="none" w:sz="0" w:space="0" w:color="auto"/>
          </w:divBdr>
        </w:div>
        <w:div w:id="23872613">
          <w:marLeft w:val="-225"/>
          <w:marRight w:val="-225"/>
          <w:marTop w:val="0"/>
          <w:marBottom w:val="0"/>
          <w:divBdr>
            <w:top w:val="none" w:sz="0" w:space="0" w:color="auto"/>
            <w:left w:val="none" w:sz="0" w:space="0" w:color="auto"/>
            <w:bottom w:val="none" w:sz="0" w:space="0" w:color="auto"/>
            <w:right w:val="none" w:sz="0" w:space="0" w:color="auto"/>
          </w:divBdr>
          <w:divsChild>
            <w:div w:id="141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VoGpf7P3LTocEtTru_kWX8w8FkqUaEG/view?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file/d/1Kfz8MR43awlRUY0ThuTJbgWQQiHROAYb/view?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n.gov/education/student-support/student-supports-in-tn.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file/d/1fe-8XEA-0TP72B9LSQ_k6SEaxPFayvPR/view?usp=shari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McLemore Auction Company, LLC</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Nichols</dc:creator>
  <cp:lastModifiedBy>Laura Nichols</cp:lastModifiedBy>
  <cp:revision>2</cp:revision>
  <dcterms:created xsi:type="dcterms:W3CDTF">2023-07-14T13:10:00Z</dcterms:created>
  <dcterms:modified xsi:type="dcterms:W3CDTF">2023-07-14T13:10:00Z</dcterms:modified>
</cp:coreProperties>
</file>